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9FFB" w14:textId="77777777" w:rsidR="00BB1361" w:rsidRPr="00BB1361" w:rsidRDefault="00BB1361" w:rsidP="00177562">
      <w:pPr>
        <w:jc w:val="both"/>
      </w:pPr>
      <w:r w:rsidRPr="00BB1361">
        <w:rPr>
          <w:b/>
          <w:bCs/>
        </w:rPr>
        <w:t>Plan for the Redesign of Latvia’s Maritime National Single Window (MNSW/SKLOIS)</w:t>
      </w:r>
      <w:r w:rsidRPr="00BB1361">
        <w:rPr>
          <w:b/>
          <w:bCs/>
        </w:rPr>
        <w:br/>
        <w:t xml:space="preserve">and the Implementation of </w:t>
      </w:r>
      <w:proofErr w:type="spellStart"/>
      <w:r w:rsidRPr="00BB1361">
        <w:rPr>
          <w:b/>
          <w:bCs/>
        </w:rPr>
        <w:t>EMSWe</w:t>
      </w:r>
      <w:proofErr w:type="spellEnd"/>
      <w:r w:rsidRPr="00BB1361">
        <w:rPr>
          <w:b/>
          <w:bCs/>
        </w:rPr>
        <w:t xml:space="preserve"> Requirements</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4514"/>
        <w:gridCol w:w="4502"/>
      </w:tblGrid>
      <w:tr w:rsidR="00BB1361" w:rsidRPr="00BB1361" w14:paraId="788FB273"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2BD0EF1" w14:textId="77777777" w:rsidR="00BB1361" w:rsidRPr="00BB1361" w:rsidRDefault="00BB1361" w:rsidP="00177562">
            <w:pPr>
              <w:jc w:val="both"/>
            </w:pPr>
            <w:r w:rsidRPr="00BB1361">
              <w:rPr>
                <w:b/>
                <w:bCs/>
              </w:rPr>
              <w:t>Project status</w:t>
            </w:r>
          </w:p>
        </w:tc>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F2F436" w14:textId="77777777" w:rsidR="00BB1361" w:rsidRPr="00BB1361" w:rsidRDefault="00BB1361" w:rsidP="00177562">
            <w:pPr>
              <w:jc w:val="both"/>
            </w:pPr>
            <w:r w:rsidRPr="00BB1361">
              <w:t>Under implementation</w:t>
            </w:r>
          </w:p>
        </w:tc>
      </w:tr>
      <w:tr w:rsidR="00BB1361" w:rsidRPr="00BB1361" w14:paraId="621A8102"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BBDE947" w14:textId="77777777" w:rsidR="00BB1361" w:rsidRPr="00BB1361" w:rsidRDefault="00BB1361" w:rsidP="00177562">
            <w:pPr>
              <w:jc w:val="both"/>
            </w:pPr>
            <w:r w:rsidRPr="00BB1361">
              <w:rPr>
                <w:b/>
                <w:bCs/>
              </w:rPr>
              <w:t>Revised implementation phase</w:t>
            </w:r>
          </w:p>
        </w:tc>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FAB1A3D" w14:textId="77777777" w:rsidR="00BB1361" w:rsidRPr="00BB1361" w:rsidRDefault="00BB1361" w:rsidP="00177562">
            <w:pPr>
              <w:jc w:val="both"/>
            </w:pPr>
            <w:r w:rsidRPr="00BB1361">
              <w:t>Q2 2026–Q2 2028</w:t>
            </w:r>
          </w:p>
        </w:tc>
      </w:tr>
      <w:tr w:rsidR="00BB1361" w:rsidRPr="00BB1361" w14:paraId="01695D6A"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D40477" w14:textId="77777777" w:rsidR="00BB1361" w:rsidRPr="00BB1361" w:rsidRDefault="00BB1361" w:rsidP="00177562">
            <w:pPr>
              <w:jc w:val="both"/>
            </w:pPr>
            <w:r w:rsidRPr="00BB1361">
              <w:rPr>
                <w:b/>
                <w:bCs/>
              </w:rPr>
              <w:t>Beneficiary and project implementer</w:t>
            </w:r>
          </w:p>
        </w:tc>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9BC21CC" w14:textId="77777777" w:rsidR="00BB1361" w:rsidRPr="00BB1361" w:rsidRDefault="00BB1361" w:rsidP="00177562">
            <w:pPr>
              <w:jc w:val="both"/>
            </w:pPr>
            <w:r w:rsidRPr="00BB1361">
              <w:t>Ministry of Transport</w:t>
            </w:r>
          </w:p>
        </w:tc>
      </w:tr>
      <w:tr w:rsidR="00BB1361" w:rsidRPr="00BB1361" w14:paraId="1F9AEC96" w14:textId="77777777">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23157DE" w14:textId="77777777" w:rsidR="00BB1361" w:rsidRPr="00BB1361" w:rsidRDefault="00BB1361" w:rsidP="00177562">
            <w:pPr>
              <w:jc w:val="both"/>
            </w:pPr>
            <w:r w:rsidRPr="00BB1361">
              <w:rPr>
                <w:b/>
                <w:bCs/>
              </w:rPr>
              <w:t>Cooperation authority</w:t>
            </w:r>
          </w:p>
        </w:tc>
        <w:tc>
          <w:tcPr>
            <w:tcW w:w="4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A04A781" w14:textId="77777777" w:rsidR="00BB1361" w:rsidRPr="00BB1361" w:rsidRDefault="00BB1361" w:rsidP="00177562">
            <w:pPr>
              <w:jc w:val="both"/>
            </w:pPr>
            <w:r w:rsidRPr="00BB1361">
              <w:t>Central Finance and Contracting Agency</w:t>
            </w:r>
          </w:p>
        </w:tc>
      </w:tr>
    </w:tbl>
    <w:p w14:paraId="1572FF8D" w14:textId="77777777" w:rsidR="00BB1361" w:rsidRPr="00BB1361" w:rsidRDefault="00BB1361" w:rsidP="00177562">
      <w:pPr>
        <w:jc w:val="both"/>
      </w:pPr>
      <w:r w:rsidRPr="00BB1361">
        <w:rPr>
          <w:b/>
          <w:bCs/>
        </w:rPr>
        <w:t>1. Project Rationale and Objective</w:t>
      </w:r>
    </w:p>
    <w:p w14:paraId="77C27B84" w14:textId="77777777" w:rsidR="00BB1361" w:rsidRPr="00BB1361" w:rsidRDefault="00BB1361" w:rsidP="00177562">
      <w:pPr>
        <w:jc w:val="both"/>
      </w:pPr>
      <w:r w:rsidRPr="00BB1361">
        <w:t>The objective of the project is to enhance the International Freight Logistics and Port Information System (SKLOIS), which performs the functions of Latvia’s Maritime National Single Window (MNSW), in order to ensure the full and sustainable implementation in Latvia of Regulation (EU) 2019/1239 of the European Parliament and of the Council establishing a European Maritime Single Window environment (</w:t>
      </w:r>
      <w:proofErr w:type="spellStart"/>
      <w:r w:rsidRPr="00BB1361">
        <w:t>EMSWe</w:t>
      </w:r>
      <w:proofErr w:type="spellEnd"/>
      <w:r w:rsidRPr="00BB1361">
        <w:t>).</w:t>
      </w:r>
    </w:p>
    <w:p w14:paraId="7B09791A" w14:textId="77777777" w:rsidR="00BB1361" w:rsidRPr="00BB1361" w:rsidRDefault="00BB1361" w:rsidP="00177562">
      <w:pPr>
        <w:jc w:val="both"/>
      </w:pPr>
      <w:r w:rsidRPr="00BB1361">
        <w:t xml:space="preserve">Within SKLOIS/MNSW, the Reporting Interface Module (RIM) provided by the European Commission will be integrated, and interoperability will be ensured with the User Registry and Access Management (URAM) solution, the </w:t>
      </w:r>
      <w:proofErr w:type="spellStart"/>
      <w:r w:rsidRPr="00BB1361">
        <w:t>EMSWe</w:t>
      </w:r>
      <w:proofErr w:type="spellEnd"/>
      <w:r w:rsidRPr="00BB1361">
        <w:t xml:space="preserve"> common databases, </w:t>
      </w:r>
      <w:proofErr w:type="spellStart"/>
      <w:r w:rsidRPr="00BB1361">
        <w:t>SafeSeaNet</w:t>
      </w:r>
      <w:proofErr w:type="spellEnd"/>
      <w:r w:rsidRPr="00BB1361">
        <w:t xml:space="preserve"> and, if the relevant architectural decision is taken during the analysis, the national publisher node of the Common Addressing Service (CAS).</w:t>
      </w:r>
    </w:p>
    <w:p w14:paraId="3577C7EB" w14:textId="77777777" w:rsidR="00BB1361" w:rsidRPr="00BB1361" w:rsidRDefault="00BB1361" w:rsidP="00177562">
      <w:pPr>
        <w:jc w:val="both"/>
      </w:pPr>
      <w:r w:rsidRPr="00BB1361">
        <w:t>The graphical user interface (GUI) for manual reporting will be provided in an integrated environment with the Port Platform as a clearly defined component (subsystem) of SKLOIS/MNSW, while the Ministry of Transport retains overall responsibility for MNSW operation, security, data governance and compliance with the Regulation.</w:t>
      </w:r>
    </w:p>
    <w:p w14:paraId="4F3D4462" w14:textId="77777777" w:rsidR="00BB1361" w:rsidRPr="00BB1361" w:rsidRDefault="00BB1361" w:rsidP="00177562">
      <w:pPr>
        <w:jc w:val="both"/>
      </w:pPr>
      <w:r w:rsidRPr="00BB1361">
        <w:rPr>
          <w:b/>
          <w:bCs/>
        </w:rPr>
        <w:t>2. Project Objectives</w:t>
      </w:r>
    </w:p>
    <w:p w14:paraId="7C753E69" w14:textId="77777777" w:rsidR="00BB1361" w:rsidRPr="00BB1361" w:rsidRDefault="00BB1361" w:rsidP="00177562">
      <w:pPr>
        <w:jc w:val="both"/>
      </w:pPr>
      <w:r w:rsidRPr="00BB1361">
        <w:t xml:space="preserve">Ensure a technically stable and secure Latvian MNSW/SKLOIS solution that complies with the requirements of the </w:t>
      </w:r>
      <w:proofErr w:type="spellStart"/>
      <w:r w:rsidRPr="00BB1361">
        <w:t>EMSWe</w:t>
      </w:r>
      <w:proofErr w:type="spellEnd"/>
      <w:r w:rsidRPr="00BB1361">
        <w:t xml:space="preserve"> Regulation.</w:t>
      </w:r>
    </w:p>
    <w:p w14:paraId="38E8480B" w14:textId="77777777" w:rsidR="00BB1361" w:rsidRPr="00BB1361" w:rsidRDefault="00BB1361" w:rsidP="00177562">
      <w:pPr>
        <w:jc w:val="both"/>
      </w:pPr>
      <w:r w:rsidRPr="00BB1361">
        <w:t xml:space="preserve">Provide a single, user-friendly working environment for completing ship reporting formalities in Latvian ports, using unified authentication and </w:t>
      </w:r>
      <w:proofErr w:type="spellStart"/>
      <w:r w:rsidRPr="00BB1361">
        <w:t>harmonised</w:t>
      </w:r>
      <w:proofErr w:type="spellEnd"/>
      <w:r w:rsidRPr="00BB1361">
        <w:t xml:space="preserve"> business processes.</w:t>
      </w:r>
    </w:p>
    <w:p w14:paraId="42209840" w14:textId="77777777" w:rsidR="00BB1361" w:rsidRPr="00BB1361" w:rsidRDefault="00BB1361" w:rsidP="00177562">
      <w:pPr>
        <w:jc w:val="both"/>
      </w:pPr>
      <w:r w:rsidRPr="00BB1361">
        <w:t xml:space="preserve">Integrate SKLOIS, the Port Platform and the information systems of the competent authorities, ensuring uninterrupted data exchange with the </w:t>
      </w:r>
      <w:proofErr w:type="spellStart"/>
      <w:r w:rsidRPr="00BB1361">
        <w:t>EMSWe</w:t>
      </w:r>
      <w:proofErr w:type="spellEnd"/>
      <w:r w:rsidRPr="00BB1361">
        <w:t xml:space="preserve"> common components maintained by the European Commission and EMSA.</w:t>
      </w:r>
    </w:p>
    <w:p w14:paraId="777DA950" w14:textId="77777777" w:rsidR="00BB1361" w:rsidRPr="00BB1361" w:rsidRDefault="00BB1361" w:rsidP="00177562">
      <w:pPr>
        <w:jc w:val="both"/>
      </w:pPr>
      <w:r w:rsidRPr="00BB1361">
        <w:t>Remedy the existing non-compliances and ensure full coverage of formalities, data elements, business rules and response messages.</w:t>
      </w:r>
    </w:p>
    <w:p w14:paraId="2AD548A4" w14:textId="77777777" w:rsidR="00BB1361" w:rsidRPr="00BB1361" w:rsidRDefault="00BB1361" w:rsidP="00177562">
      <w:pPr>
        <w:jc w:val="both"/>
      </w:pPr>
      <w:r w:rsidRPr="00BB1361">
        <w:t>Establish a transparent model for system governance, maintenance, cybersecurity, incident management and financing after completion of the project.</w:t>
      </w:r>
    </w:p>
    <w:p w14:paraId="535088AE" w14:textId="77777777" w:rsidR="00BB1361" w:rsidRPr="00BB1361" w:rsidRDefault="00BB1361" w:rsidP="00177562">
      <w:pPr>
        <w:jc w:val="both"/>
      </w:pPr>
      <w:r w:rsidRPr="00BB1361">
        <w:rPr>
          <w:b/>
          <w:bCs/>
        </w:rPr>
        <w:t>3. Core Architecture and Responsibility Principles</w:t>
      </w:r>
    </w:p>
    <w:p w14:paraId="53985187" w14:textId="77777777" w:rsidR="00BB1361" w:rsidRPr="00BB1361" w:rsidRDefault="00BB1361" w:rsidP="00177562">
      <w:pPr>
        <w:jc w:val="both"/>
      </w:pPr>
      <w:r w:rsidRPr="00BB1361">
        <w:t>SKLOIS is the core of Latvia’s MNSW and a national information system; no new systems or systems separate from SKLOIS will be created under the project.</w:t>
      </w:r>
    </w:p>
    <w:p w14:paraId="157C8B7A" w14:textId="77777777" w:rsidR="00BB1361" w:rsidRPr="00BB1361" w:rsidRDefault="00BB1361" w:rsidP="00177562">
      <w:pPr>
        <w:jc w:val="both"/>
      </w:pPr>
      <w:r w:rsidRPr="00BB1361">
        <w:lastRenderedPageBreak/>
        <w:t>For messaging purposes, the RIM software package provided by the European Commission will be integrated, configured, tested and maintained.</w:t>
      </w:r>
    </w:p>
    <w:p w14:paraId="65FF7C38" w14:textId="77777777" w:rsidR="00BB1361" w:rsidRPr="00BB1361" w:rsidRDefault="00BB1361" w:rsidP="00177562">
      <w:pPr>
        <w:jc w:val="both"/>
      </w:pPr>
      <w:r w:rsidRPr="00BB1361">
        <w:t>The URAM usage model must be approved by an architectural decision specifying the user registration authority, authentication mechanism, and the procedures for verifying EORI numbers and electronic seals.</w:t>
      </w:r>
    </w:p>
    <w:p w14:paraId="154D5354" w14:textId="77777777" w:rsidR="00BB1361" w:rsidRPr="00BB1361" w:rsidRDefault="00BB1361" w:rsidP="00177562">
      <w:pPr>
        <w:jc w:val="both"/>
      </w:pPr>
      <w:r w:rsidRPr="00BB1361">
        <w:t>CAS is not automatically a mandatory core component of the MNSW. A decision on the use of CAS has not yet been taken.</w:t>
      </w:r>
    </w:p>
    <w:p w14:paraId="52826EF8" w14:textId="77777777" w:rsidR="00BB1361" w:rsidRPr="00BB1361" w:rsidRDefault="00BB1361" w:rsidP="00177562">
      <w:pPr>
        <w:jc w:val="both"/>
      </w:pPr>
      <w:r w:rsidRPr="00BB1361">
        <w:t>The Port Platform GUI and related functionality will be incorporated into the overall MNSW architecture, with clearly defined system boundaries, data flows, ownership, service-level agreements (SLAs), incident management and exit arrangements. In particular, the authoritative data source, data controller, data recipient and technical interface will be identified for each data element and process.</w:t>
      </w:r>
    </w:p>
    <w:p w14:paraId="70E7F56F" w14:textId="77777777" w:rsidR="00BB1361" w:rsidRPr="00BB1361" w:rsidRDefault="00BB1361" w:rsidP="00177562">
      <w:pPr>
        <w:jc w:val="both"/>
      </w:pPr>
      <w:r w:rsidRPr="00BB1361">
        <w:rPr>
          <w:b/>
          <w:bCs/>
        </w:rPr>
        <w:t>4. Main Project Activities and Timeline</w:t>
      </w:r>
    </w:p>
    <w:p w14:paraId="0DBF9F42" w14:textId="77777777" w:rsidR="00BB1361" w:rsidRPr="00BB1361" w:rsidRDefault="00BB1361" w:rsidP="00177562">
      <w:pPr>
        <w:jc w:val="both"/>
      </w:pPr>
      <w:r w:rsidRPr="00BB1361">
        <w:rPr>
          <w:b/>
          <w:bCs/>
        </w:rPr>
        <w:t>4.1. Governance, Architecture and Preparatory Activities (Q2–Q4 2026)</w:t>
      </w:r>
    </w:p>
    <w:p w14:paraId="0B4D6B3D" w14:textId="77777777" w:rsidR="00BB1361" w:rsidRPr="00BB1361" w:rsidRDefault="00BB1361" w:rsidP="00177562">
      <w:pPr>
        <w:jc w:val="both"/>
      </w:pPr>
      <w:r w:rsidRPr="00BB1361">
        <w:t>Approve the target architecture and the allocation of responsibilities among the Ministry of Transport (</w:t>
      </w:r>
      <w:proofErr w:type="spellStart"/>
      <w:r w:rsidRPr="00BB1361">
        <w:t>MoT</w:t>
      </w:r>
      <w:proofErr w:type="spellEnd"/>
      <w:r w:rsidRPr="00BB1361">
        <w:t>), the State limited liability company “Maritime Administration of Latvia” (MAL), the legal entity responsible for the Port Platform and the competent authorities.</w:t>
      </w:r>
    </w:p>
    <w:p w14:paraId="3417C8D8" w14:textId="77777777" w:rsidR="00BB1361" w:rsidRPr="00BB1361" w:rsidRDefault="00BB1361" w:rsidP="00177562">
      <w:pPr>
        <w:jc w:val="both"/>
      </w:pPr>
      <w:r w:rsidRPr="00BB1361">
        <w:t>Assess whether the redesigned architecture and timeline comply with the project fiche, project application, financing agreement and applicable legislation; prepare amendments where necessary.</w:t>
      </w:r>
    </w:p>
    <w:p w14:paraId="0F80DD77" w14:textId="77777777" w:rsidR="00BB1361" w:rsidRPr="00BB1361" w:rsidRDefault="00BB1361" w:rsidP="00177562">
      <w:pPr>
        <w:jc w:val="both"/>
      </w:pPr>
      <w:r w:rsidRPr="00BB1361">
        <w:t>Conclude a cooperation agreement with the specifically identified legal entity responsible for the Port Platform, defining the functionality, SLAs, availability, security, data protection, source code and intellectual property rights, financing, maintenance, incident and change management, solution handover and exit arrangements.</w:t>
      </w:r>
    </w:p>
    <w:p w14:paraId="5DBCCD49" w14:textId="77777777" w:rsidR="00BB1361" w:rsidRPr="00BB1361" w:rsidRDefault="00BB1361" w:rsidP="00177562">
      <w:pPr>
        <w:jc w:val="both"/>
      </w:pPr>
      <w:r w:rsidRPr="00BB1361">
        <w:t xml:space="preserve">Engage an independent consultant to </w:t>
      </w:r>
      <w:proofErr w:type="spellStart"/>
      <w:r w:rsidRPr="00BB1361">
        <w:t>analyse</w:t>
      </w:r>
      <w:proofErr w:type="spellEnd"/>
      <w:r w:rsidRPr="00BB1361">
        <w:t xml:space="preserve"> user needs, develop the target architecture and technical specifications, and supervise implementation.</w:t>
      </w:r>
    </w:p>
    <w:p w14:paraId="2F1C460F" w14:textId="77777777" w:rsidR="00BB1361" w:rsidRPr="00BB1361" w:rsidRDefault="00BB1361" w:rsidP="00177562">
      <w:pPr>
        <w:jc w:val="both"/>
      </w:pPr>
      <w:r w:rsidRPr="00BB1361">
        <w:t>Establish the project governance structure, decision-making procedures, risk register, change management process and regular reporting mechanism.</w:t>
      </w:r>
    </w:p>
    <w:p w14:paraId="6AB86D70" w14:textId="77777777" w:rsidR="00BB1361" w:rsidRPr="00BB1361" w:rsidRDefault="00BB1361" w:rsidP="00177562">
      <w:pPr>
        <w:jc w:val="both"/>
      </w:pPr>
      <w:r w:rsidRPr="00BB1361">
        <w:rPr>
          <w:b/>
          <w:bCs/>
        </w:rPr>
        <w:t>4.2. Current-State Audit and Development of Technical Specifications (Q3–Q4 2026 to Q2 2027)</w:t>
      </w:r>
    </w:p>
    <w:p w14:paraId="404B402C" w14:textId="77777777" w:rsidR="00BB1361" w:rsidRPr="00BB1361" w:rsidRDefault="00BB1361" w:rsidP="00177562">
      <w:pPr>
        <w:jc w:val="both"/>
      </w:pPr>
      <w:r w:rsidRPr="00BB1361">
        <w:t>Audit SKLOIS functionality, technologies, integrations, data quality, maintenance, performance, cybersecurity and business continuity.</w:t>
      </w:r>
    </w:p>
    <w:p w14:paraId="21E9B3B3" w14:textId="77777777" w:rsidR="00BB1361" w:rsidRPr="00BB1361" w:rsidRDefault="00BB1361" w:rsidP="00177562">
      <w:pPr>
        <w:jc w:val="both"/>
      </w:pPr>
      <w:r w:rsidRPr="00BB1361">
        <w:t xml:space="preserve">Develop a comprehensive </w:t>
      </w:r>
      <w:proofErr w:type="spellStart"/>
      <w:r w:rsidRPr="00BB1361">
        <w:t>EMSWe</w:t>
      </w:r>
      <w:proofErr w:type="spellEnd"/>
      <w:r w:rsidRPr="00BB1361">
        <w:t xml:space="preserve"> formalities and interfaces coverage matrix covering Union, international and national formalities, competent authorities, data elements, business rules, submission channels, response messages, systems to be integrated, and testing and production deadlines.</w:t>
      </w:r>
    </w:p>
    <w:p w14:paraId="1D9F9A18" w14:textId="77777777" w:rsidR="00BB1361" w:rsidRPr="00BB1361" w:rsidRDefault="00BB1361" w:rsidP="00177562">
      <w:pPr>
        <w:jc w:val="both"/>
      </w:pPr>
      <w:r w:rsidRPr="00BB1361">
        <w:t xml:space="preserve">Perform a field-level gap analysis between the current </w:t>
      </w:r>
      <w:proofErr w:type="spellStart"/>
      <w:r w:rsidRPr="00BB1361">
        <w:t>EMSWe</w:t>
      </w:r>
      <w:proofErr w:type="spellEnd"/>
      <w:r w:rsidRPr="00BB1361">
        <w:t xml:space="preserve"> data set and the national systems, including requirements for data migration and data quality remediation.</w:t>
      </w:r>
    </w:p>
    <w:p w14:paraId="0EE749D0" w14:textId="77777777" w:rsidR="00BB1361" w:rsidRPr="00BB1361" w:rsidRDefault="00BB1361" w:rsidP="00177562">
      <w:pPr>
        <w:jc w:val="both"/>
      </w:pPr>
      <w:r w:rsidRPr="00BB1361">
        <w:lastRenderedPageBreak/>
        <w:t xml:space="preserve">Model in detail the MNSW business processes and interfaces with the State Revenue Service, State Border Guard, State Environmental Service, Food and Veterinary Service, Coast Guard Service of the Latvian Naval Forces, Central Statistical Bureau, port systems, </w:t>
      </w:r>
      <w:proofErr w:type="spellStart"/>
      <w:r w:rsidRPr="00BB1361">
        <w:t>SafeSeaNet</w:t>
      </w:r>
      <w:proofErr w:type="spellEnd"/>
      <w:r w:rsidRPr="00BB1361">
        <w:t xml:space="preserve">, the </w:t>
      </w:r>
      <w:proofErr w:type="spellStart"/>
      <w:r w:rsidRPr="00BB1361">
        <w:t>EMSWe</w:t>
      </w:r>
      <w:proofErr w:type="spellEnd"/>
      <w:r w:rsidRPr="00BB1361">
        <w:t xml:space="preserve"> common databases and other relevant systems.</w:t>
      </w:r>
    </w:p>
    <w:p w14:paraId="5A0761CA" w14:textId="77777777" w:rsidR="00BB1361" w:rsidRPr="00BB1361" w:rsidRDefault="00BB1361" w:rsidP="00177562">
      <w:pPr>
        <w:jc w:val="both"/>
      </w:pPr>
      <w:r w:rsidRPr="00BB1361">
        <w:t>Prepare the technical specifications for the main development procurement, including functional, non-functional, security, testing, migration, handover, warranty and maintenance requirements.</w:t>
      </w:r>
    </w:p>
    <w:p w14:paraId="683F692F" w14:textId="77777777" w:rsidR="00BB1361" w:rsidRPr="00BB1361" w:rsidRDefault="00BB1361" w:rsidP="00177562">
      <w:pPr>
        <w:jc w:val="both"/>
      </w:pPr>
      <w:r w:rsidRPr="00BB1361">
        <w:rPr>
          <w:b/>
          <w:bCs/>
        </w:rPr>
        <w:t>4.3. Accelerated PoUS Workstream (Q3 2026–February 2027)</w:t>
      </w:r>
    </w:p>
    <w:p w14:paraId="63B31201" w14:textId="77777777" w:rsidR="00BB1361" w:rsidRPr="00BB1361" w:rsidRDefault="00BB1361" w:rsidP="00177562">
      <w:pPr>
        <w:jc w:val="both"/>
      </w:pPr>
      <w:r w:rsidRPr="00BB1361">
        <w:t>Develop and implement, separately from the main development cycle, an MNSW connection to the Proof of Union Status system (PoUS) or an approved interim national solution.</w:t>
      </w:r>
    </w:p>
    <w:p w14:paraId="67C699B6" w14:textId="77777777" w:rsidR="00BB1361" w:rsidRPr="00BB1361" w:rsidRDefault="00BB1361" w:rsidP="00177562">
      <w:pPr>
        <w:jc w:val="both"/>
      </w:pPr>
      <w:r w:rsidRPr="00BB1361">
        <w:t>Agree the data flows and responsibility model with the State Revenue Service, eliminating the risk of duplicate data submission and verification.</w:t>
      </w:r>
    </w:p>
    <w:p w14:paraId="4903C3CB" w14:textId="77777777" w:rsidR="00BB1361" w:rsidRPr="00BB1361" w:rsidRDefault="00BB1361" w:rsidP="00177562">
      <w:pPr>
        <w:jc w:val="both"/>
      </w:pPr>
      <w:r w:rsidRPr="00BB1361">
        <w:t>Complete technical and user testing and ensure that the solution is production-ready no later than the end of February 2027.</w:t>
      </w:r>
    </w:p>
    <w:p w14:paraId="307B1312" w14:textId="77777777" w:rsidR="00BB1361" w:rsidRPr="00BB1361" w:rsidRDefault="00BB1361" w:rsidP="00177562">
      <w:pPr>
        <w:jc w:val="both"/>
      </w:pPr>
      <w:r w:rsidRPr="00BB1361">
        <w:rPr>
          <w:b/>
          <w:bCs/>
        </w:rPr>
        <w:t>4.4. Procurement Procedures (Q1–Q2 2027)</w:t>
      </w:r>
    </w:p>
    <w:p w14:paraId="7C976896" w14:textId="77777777" w:rsidR="00BB1361" w:rsidRPr="00BB1361" w:rsidRDefault="00BB1361" w:rsidP="00177562">
      <w:pPr>
        <w:jc w:val="both"/>
      </w:pPr>
      <w:proofErr w:type="spellStart"/>
      <w:r w:rsidRPr="00BB1361">
        <w:t>Organise</w:t>
      </w:r>
      <w:proofErr w:type="spellEnd"/>
      <w:r w:rsidRPr="00BB1361">
        <w:t xml:space="preserve"> the main development procurement for the enhancement of SKLOIS/MNSW, RIM integration, URAM interoperability, the required integrations with </w:t>
      </w:r>
      <w:proofErr w:type="spellStart"/>
      <w:r w:rsidRPr="00BB1361">
        <w:t>EMSWe</w:t>
      </w:r>
      <w:proofErr w:type="spellEnd"/>
      <w:r w:rsidRPr="00BB1361">
        <w:t xml:space="preserve"> common components, and connection to the Port Platform.</w:t>
      </w:r>
    </w:p>
    <w:p w14:paraId="57943488" w14:textId="77777777" w:rsidR="00BB1361" w:rsidRPr="00BB1361" w:rsidRDefault="00BB1361" w:rsidP="00177562">
      <w:pPr>
        <w:jc w:val="both"/>
      </w:pPr>
      <w:proofErr w:type="spellStart"/>
      <w:r w:rsidRPr="00BB1361">
        <w:t>Organise</w:t>
      </w:r>
      <w:proofErr w:type="spellEnd"/>
      <w:r w:rsidRPr="00BB1361">
        <w:t xml:space="preserve"> the development procurement on the condition that development of the integrated working environment is coordinated with the development of SKLOIS/MNSW and the overall release plan.</w:t>
      </w:r>
    </w:p>
    <w:p w14:paraId="6BB030ED" w14:textId="77777777" w:rsidR="00BB1361" w:rsidRPr="00BB1361" w:rsidRDefault="00BB1361" w:rsidP="00177562">
      <w:pPr>
        <w:jc w:val="both"/>
      </w:pPr>
      <w:r w:rsidRPr="00BB1361">
        <w:t>In parallel, procure independent testing services and the necessary infrastructure or cloud services so that the test environment is available from the first deliverable.</w:t>
      </w:r>
    </w:p>
    <w:p w14:paraId="6151E709" w14:textId="77777777" w:rsidR="00BB1361" w:rsidRPr="00BB1361" w:rsidRDefault="00BB1361" w:rsidP="00177562">
      <w:pPr>
        <w:jc w:val="both"/>
      </w:pPr>
      <w:r w:rsidRPr="00BB1361">
        <w:rPr>
          <w:b/>
          <w:bCs/>
        </w:rPr>
        <w:t>4.5. System Development and Phased Implementation (Q2 2027–Q2 2028)</w:t>
      </w:r>
    </w:p>
    <w:p w14:paraId="1E1936B0" w14:textId="77777777" w:rsidR="00BB1361" w:rsidRPr="00BB1361" w:rsidRDefault="00BB1361" w:rsidP="00177562">
      <w:pPr>
        <w:jc w:val="both"/>
      </w:pPr>
      <w:r w:rsidRPr="00BB1361">
        <w:rPr>
          <w:b/>
          <w:bCs/>
        </w:rPr>
        <w:t xml:space="preserve">Phase 1 – technical messaging channel: </w:t>
      </w:r>
      <w:r w:rsidRPr="00BB1361">
        <w:t>Integration and configuration of RIM, establishment of AS4/</w:t>
      </w:r>
      <w:proofErr w:type="spellStart"/>
      <w:r w:rsidRPr="00BB1361">
        <w:t>eDelivery</w:t>
      </w:r>
      <w:proofErr w:type="spellEnd"/>
      <w:r w:rsidRPr="00BB1361">
        <w:t xml:space="preserve"> messaging, integration of the CAS national publisher node if approved, and technical interoperability testing with the European Commission/EMSA.</w:t>
      </w:r>
    </w:p>
    <w:p w14:paraId="4853BF6D" w14:textId="77777777" w:rsidR="00BB1361" w:rsidRPr="00BB1361" w:rsidRDefault="00BB1361" w:rsidP="00177562">
      <w:pPr>
        <w:jc w:val="both"/>
      </w:pPr>
      <w:r w:rsidRPr="00BB1361">
        <w:rPr>
          <w:b/>
          <w:bCs/>
        </w:rPr>
        <w:t xml:space="preserve">Phase 2 – identity and core integrations: </w:t>
      </w:r>
      <w:r w:rsidRPr="00BB1361">
        <w:t xml:space="preserve">URAM interoperability, </w:t>
      </w:r>
      <w:proofErr w:type="spellStart"/>
      <w:r w:rsidRPr="00BB1361">
        <w:t>centralised</w:t>
      </w:r>
      <w:proofErr w:type="spellEnd"/>
      <w:r w:rsidRPr="00BB1361">
        <w:t xml:space="preserve"> authentication, the user registration process, and the first complete data flows between SKLOIS/MNSW, the Port Platform and the information systems of the competent authorities.</w:t>
      </w:r>
    </w:p>
    <w:p w14:paraId="4FE388FF" w14:textId="77777777" w:rsidR="00BB1361" w:rsidRPr="00BB1361" w:rsidRDefault="00BB1361" w:rsidP="00177562">
      <w:pPr>
        <w:jc w:val="both"/>
      </w:pPr>
      <w:r w:rsidRPr="00BB1361">
        <w:rPr>
          <w:b/>
          <w:bCs/>
        </w:rPr>
        <w:t xml:space="preserve">MVP – demonstration of technical compliance (Q3 2027): </w:t>
      </w:r>
      <w:r w:rsidRPr="00BB1361">
        <w:t xml:space="preserve">At least one fully functioning formality in a production-like environment, including submission, validation, routing, a response message and an audit trail. The MVP does not constitute full regulatory compliance with </w:t>
      </w:r>
      <w:proofErr w:type="spellStart"/>
      <w:r w:rsidRPr="00BB1361">
        <w:t>EMSWe</w:t>
      </w:r>
      <w:proofErr w:type="spellEnd"/>
      <w:r w:rsidRPr="00BB1361">
        <w:t>.</w:t>
      </w:r>
    </w:p>
    <w:p w14:paraId="670B74A7" w14:textId="77777777" w:rsidR="00BB1361" w:rsidRPr="00BB1361" w:rsidRDefault="00BB1361" w:rsidP="00177562">
      <w:pPr>
        <w:jc w:val="both"/>
      </w:pPr>
      <w:r w:rsidRPr="00BB1361">
        <w:rPr>
          <w:b/>
          <w:bCs/>
        </w:rPr>
        <w:t xml:space="preserve">Phase 3 – iterative addition of formalities: </w:t>
      </w:r>
      <w:r w:rsidRPr="00BB1361">
        <w:t xml:space="preserve">Formalities will be added through regular, short release cycles rather than only once every six months. Priorities will be determined by the </w:t>
      </w:r>
      <w:proofErr w:type="gramStart"/>
      <w:r w:rsidRPr="00BB1361">
        <w:t>formalities</w:t>
      </w:r>
      <w:proofErr w:type="gramEnd"/>
      <w:r w:rsidRPr="00BB1361">
        <w:t xml:space="preserve"> coverage matrix and regulatory deadlines.</w:t>
      </w:r>
    </w:p>
    <w:p w14:paraId="3D871897" w14:textId="77777777" w:rsidR="00BB1361" w:rsidRPr="00BB1361" w:rsidRDefault="00BB1361" w:rsidP="00177562">
      <w:pPr>
        <w:jc w:val="both"/>
      </w:pPr>
      <w:r w:rsidRPr="00BB1361">
        <w:rPr>
          <w:b/>
          <w:bCs/>
        </w:rPr>
        <w:lastRenderedPageBreak/>
        <w:t xml:space="preserve">Phase 4 – full integration, security and transition: </w:t>
      </w:r>
      <w:r w:rsidRPr="00BB1361">
        <w:t>A complete set of interfaces; load, security, business continuity and recovery testing; data migration; parallel operation; a production cutover and rollback plan; and handover to maintenance.</w:t>
      </w:r>
    </w:p>
    <w:p w14:paraId="02C71E3E" w14:textId="77777777" w:rsidR="00BB1361" w:rsidRPr="00BB1361" w:rsidRDefault="00BB1361" w:rsidP="00177562">
      <w:pPr>
        <w:jc w:val="both"/>
      </w:pPr>
      <w:r w:rsidRPr="00BB1361">
        <w:rPr>
          <w:b/>
          <w:bCs/>
        </w:rPr>
        <w:t>4.6. International Cooperation, Testing and Communication (Q4 2026–Q2 2028)</w:t>
      </w:r>
    </w:p>
    <w:p w14:paraId="2BDFEBA5" w14:textId="77777777" w:rsidR="00BB1361" w:rsidRPr="00BB1361" w:rsidRDefault="00BB1361" w:rsidP="00177562">
      <w:pPr>
        <w:jc w:val="both"/>
      </w:pPr>
      <w:r w:rsidRPr="00BB1361">
        <w:t>Regularly inform the European Commission and EMSA about Latvia’s readiness, interim results, risks and temporary solutions.</w:t>
      </w:r>
    </w:p>
    <w:p w14:paraId="485FD87C" w14:textId="77777777" w:rsidR="00BB1361" w:rsidRPr="00BB1361" w:rsidRDefault="00BB1361" w:rsidP="00177562">
      <w:pPr>
        <w:jc w:val="both"/>
      </w:pPr>
      <w:r w:rsidRPr="00BB1361">
        <w:t xml:space="preserve">Test the integration of RIM, Message Implementation Guidelines (MIGs), XSD schemas, business rules, response messages, URAM, CAS and </w:t>
      </w:r>
      <w:proofErr w:type="spellStart"/>
      <w:r w:rsidRPr="00BB1361">
        <w:t>SafeSeaNet</w:t>
      </w:r>
      <w:proofErr w:type="spellEnd"/>
      <w:r w:rsidRPr="00BB1361">
        <w:t>.</w:t>
      </w:r>
    </w:p>
    <w:p w14:paraId="2000D8BA" w14:textId="77777777" w:rsidR="00BB1361" w:rsidRPr="00BB1361" w:rsidRDefault="00BB1361" w:rsidP="00177562">
      <w:pPr>
        <w:jc w:val="both"/>
      </w:pPr>
      <w:r w:rsidRPr="00BB1361">
        <w:t>Conduct end-to-end testing with ship agents, shipping companies and data service providers.</w:t>
      </w:r>
    </w:p>
    <w:p w14:paraId="5B871C94" w14:textId="77777777" w:rsidR="00BB1361" w:rsidRPr="00BB1361" w:rsidRDefault="00BB1361" w:rsidP="00177562">
      <w:pPr>
        <w:jc w:val="both"/>
      </w:pPr>
      <w:r w:rsidRPr="00BB1361">
        <w:t>Prepare user training, support materials, a helpdesk operating model and a single information portal.</w:t>
      </w:r>
    </w:p>
    <w:p w14:paraId="69603EC4" w14:textId="77777777" w:rsidR="00BB1361" w:rsidRPr="00BB1361" w:rsidRDefault="00BB1361" w:rsidP="00177562">
      <w:pPr>
        <w:jc w:val="both"/>
      </w:pPr>
      <w:r w:rsidRPr="00BB1361">
        <w:rPr>
          <w:b/>
          <w:bCs/>
        </w:rPr>
        <w:t>5. Mandatory Deliverables and Acceptance Criteria</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3005"/>
        <w:gridCol w:w="3019"/>
        <w:gridCol w:w="2992"/>
      </w:tblGrid>
      <w:tr w:rsidR="00BB1361" w:rsidRPr="00BB1361" w14:paraId="011F273A" w14:textId="77777777">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2C54DFB6" w14:textId="77777777" w:rsidR="00BB1361" w:rsidRPr="00BB1361" w:rsidRDefault="00BB1361" w:rsidP="00177562">
            <w:pPr>
              <w:jc w:val="both"/>
            </w:pPr>
            <w:r w:rsidRPr="00BB1361">
              <w:rPr>
                <w:b/>
                <w:bCs/>
              </w:rPr>
              <w:t>Deliverable</w:t>
            </w:r>
          </w:p>
        </w:tc>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4F172248" w14:textId="77777777" w:rsidR="00BB1361" w:rsidRPr="00BB1361" w:rsidRDefault="00BB1361" w:rsidP="00177562">
            <w:pPr>
              <w:jc w:val="both"/>
            </w:pPr>
            <w:r w:rsidRPr="00BB1361">
              <w:rPr>
                <w:b/>
                <w:bCs/>
              </w:rPr>
              <w:t>Minimum content</w:t>
            </w:r>
          </w:p>
        </w:tc>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458B03D7" w14:textId="77777777" w:rsidR="00BB1361" w:rsidRPr="00BB1361" w:rsidRDefault="00BB1361" w:rsidP="00177562">
            <w:pPr>
              <w:jc w:val="both"/>
            </w:pPr>
            <w:r w:rsidRPr="00BB1361">
              <w:rPr>
                <w:b/>
                <w:bCs/>
              </w:rPr>
              <w:t>Acceptance criteria</w:t>
            </w:r>
          </w:p>
        </w:tc>
      </w:tr>
      <w:tr w:rsidR="00BB1361" w:rsidRPr="00BB1361" w14:paraId="44C3FCEE"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3308090" w14:textId="77777777" w:rsidR="00BB1361" w:rsidRPr="00BB1361" w:rsidRDefault="00BB1361" w:rsidP="00177562">
            <w:pPr>
              <w:jc w:val="both"/>
            </w:pPr>
            <w:r w:rsidRPr="00BB1361">
              <w:t>Target architecture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6C0D967" w14:textId="77777777" w:rsidR="00BB1361" w:rsidRPr="00BB1361" w:rsidRDefault="00BB1361" w:rsidP="00177562">
            <w:r w:rsidRPr="00BB1361">
              <w:t>System boundaries, data flows, roles, integrations, security and maintenance model</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F60EF29" w14:textId="77777777" w:rsidR="00BB1361" w:rsidRPr="00BB1361" w:rsidRDefault="00BB1361" w:rsidP="00177562">
            <w:r w:rsidRPr="00BB1361">
              <w:t>Approved by the Ministry of Transport and agreed with the authority responsible for the Port Platform and the competent authorities</w:t>
            </w:r>
          </w:p>
        </w:tc>
      </w:tr>
      <w:tr w:rsidR="00BB1361" w:rsidRPr="00BB1361" w14:paraId="71F05582"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DCB1074" w14:textId="77777777" w:rsidR="00BB1361" w:rsidRPr="00BB1361" w:rsidRDefault="00BB1361" w:rsidP="00177562">
            <w:pPr>
              <w:jc w:val="both"/>
            </w:pPr>
            <w:r w:rsidRPr="00BB1361">
              <w:t>Formalities coverage matrix</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242EB62" w14:textId="77777777" w:rsidR="00BB1361" w:rsidRPr="00BB1361" w:rsidRDefault="00BB1361" w:rsidP="00177562">
            <w:r w:rsidRPr="00BB1361">
              <w:t xml:space="preserve">All </w:t>
            </w:r>
            <w:proofErr w:type="spellStart"/>
            <w:r w:rsidRPr="00BB1361">
              <w:t>EMSWe</w:t>
            </w:r>
            <w:proofErr w:type="spellEnd"/>
            <w:r w:rsidRPr="00BB1361">
              <w:t xml:space="preserve"> and national formalities, data elements, response messages, channels, systems and deadlines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C4D061D" w14:textId="77777777" w:rsidR="00BB1361" w:rsidRPr="00BB1361" w:rsidRDefault="00BB1361" w:rsidP="00177562">
            <w:r w:rsidRPr="00BB1361">
              <w:t>No unidentified formalities or system owners</w:t>
            </w:r>
          </w:p>
        </w:tc>
      </w:tr>
      <w:tr w:rsidR="00BB1361" w:rsidRPr="00BB1361" w14:paraId="45860A76"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C0D474D" w14:textId="77777777" w:rsidR="00BB1361" w:rsidRPr="00BB1361" w:rsidRDefault="00BB1361" w:rsidP="00177562">
            <w:pPr>
              <w:jc w:val="both"/>
            </w:pPr>
            <w:r w:rsidRPr="00BB1361">
              <w:t>Technical specifications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4751E2E" w14:textId="77777777" w:rsidR="00BB1361" w:rsidRPr="00BB1361" w:rsidRDefault="00BB1361" w:rsidP="00177562">
            <w:r w:rsidRPr="00BB1361">
              <w:t>Functional, non-functional, security, migration, testing and maintenance requirements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C138FF1" w14:textId="77777777" w:rsidR="00BB1361" w:rsidRPr="00BB1361" w:rsidRDefault="00BB1361" w:rsidP="00177562">
            <w:r w:rsidRPr="00BB1361">
              <w:t>Approved for launch of the procurement procedure</w:t>
            </w:r>
          </w:p>
        </w:tc>
      </w:tr>
      <w:tr w:rsidR="00BB1361" w:rsidRPr="00BB1361" w14:paraId="3AAB488C"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24C18B9" w14:textId="77777777" w:rsidR="00BB1361" w:rsidRPr="00BB1361" w:rsidRDefault="00BB1361" w:rsidP="00177562">
            <w:pPr>
              <w:jc w:val="both"/>
            </w:pPr>
            <w:r w:rsidRPr="00BB1361">
              <w:t>PoUS solution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C5D5276" w14:textId="77777777" w:rsidR="00BB1361" w:rsidRPr="00BB1361" w:rsidRDefault="00BB1361" w:rsidP="00177562">
            <w:r w:rsidRPr="00BB1361">
              <w:t>Complete data flow, integration and testing</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331703B" w14:textId="77777777" w:rsidR="00BB1361" w:rsidRPr="00BB1361" w:rsidRDefault="00BB1361" w:rsidP="00177562">
            <w:r w:rsidRPr="00BB1361">
              <w:t>Production-ready by the end of February 2027</w:t>
            </w:r>
          </w:p>
        </w:tc>
      </w:tr>
      <w:tr w:rsidR="00BB1361" w:rsidRPr="00BB1361" w14:paraId="4ACC4314"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580AF6C7" w14:textId="77777777" w:rsidR="00BB1361" w:rsidRPr="00BB1361" w:rsidRDefault="00BB1361" w:rsidP="00177562">
            <w:pPr>
              <w:jc w:val="both"/>
            </w:pPr>
            <w:r w:rsidRPr="00BB1361">
              <w:t>MVP</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37AA1AEB" w14:textId="77777777" w:rsidR="00BB1361" w:rsidRPr="00BB1361" w:rsidRDefault="00BB1361" w:rsidP="00177562">
            <w:r w:rsidRPr="00BB1361">
              <w:t>One complete formality covering all processing stages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3D76F0F" w14:textId="77777777" w:rsidR="00BB1361" w:rsidRPr="00BB1361" w:rsidRDefault="00BB1361" w:rsidP="00177562">
            <w:r w:rsidRPr="00BB1361">
              <w:t>Technical, security and user testing successfully completed</w:t>
            </w:r>
          </w:p>
        </w:tc>
      </w:tr>
      <w:tr w:rsidR="00BB1361" w:rsidRPr="00BB1361" w14:paraId="517BC82A"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9362BB0" w14:textId="77777777" w:rsidR="00BB1361" w:rsidRPr="00BB1361" w:rsidRDefault="00BB1361" w:rsidP="00177562">
            <w:pPr>
              <w:jc w:val="both"/>
            </w:pPr>
            <w:r w:rsidRPr="00BB1361">
              <w:t>Full production solution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E36B51C" w14:textId="77777777" w:rsidR="00BB1361" w:rsidRPr="00BB1361" w:rsidRDefault="00BB1361" w:rsidP="00177562">
            <w:r w:rsidRPr="00BB1361">
              <w:t>Full scope of formalities and integrations, migration, parallel operation, documentation and training</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3CED987" w14:textId="77777777" w:rsidR="00BB1361" w:rsidRPr="00BB1361" w:rsidRDefault="00BB1361" w:rsidP="00177562">
            <w:r w:rsidRPr="00BB1361">
              <w:t>All acceptance criteria fulfilled and handover to maintenance approved</w:t>
            </w:r>
          </w:p>
        </w:tc>
      </w:tr>
    </w:tbl>
    <w:p w14:paraId="442D76EE" w14:textId="77777777" w:rsidR="00177562" w:rsidRDefault="00177562" w:rsidP="00177562">
      <w:pPr>
        <w:jc w:val="both"/>
        <w:rPr>
          <w:b/>
          <w:bCs/>
        </w:rPr>
      </w:pPr>
    </w:p>
    <w:p w14:paraId="14BACEF9" w14:textId="39C48BA1" w:rsidR="00BB1361" w:rsidRPr="00BB1361" w:rsidRDefault="00BB1361" w:rsidP="00177562">
      <w:pPr>
        <w:jc w:val="both"/>
      </w:pPr>
      <w:r w:rsidRPr="00BB1361">
        <w:rPr>
          <w:b/>
          <w:bCs/>
        </w:rPr>
        <w:t>6. Project Partners and Stakeholders</w:t>
      </w:r>
    </w:p>
    <w:p w14:paraId="5DA2E685" w14:textId="77777777" w:rsidR="00BB1361" w:rsidRPr="00BB1361" w:rsidRDefault="00BB1361" w:rsidP="00177562">
      <w:pPr>
        <w:jc w:val="both"/>
      </w:pPr>
      <w:r w:rsidRPr="00BB1361">
        <w:rPr>
          <w:b/>
          <w:bCs/>
        </w:rPr>
        <w:t>Ministry of Transport (</w:t>
      </w:r>
      <w:proofErr w:type="spellStart"/>
      <w:r w:rsidRPr="00BB1361">
        <w:rPr>
          <w:b/>
          <w:bCs/>
        </w:rPr>
        <w:t>MoT</w:t>
      </w:r>
      <w:proofErr w:type="spellEnd"/>
      <w:r w:rsidRPr="00BB1361">
        <w:rPr>
          <w:b/>
          <w:bCs/>
        </w:rPr>
        <w:t xml:space="preserve">) – </w:t>
      </w:r>
      <w:r w:rsidRPr="00BB1361">
        <w:t xml:space="preserve">beneficiary, project implementer, owner of SKLOIS and national </w:t>
      </w:r>
      <w:proofErr w:type="spellStart"/>
      <w:r w:rsidRPr="00BB1361">
        <w:t>EMSWe</w:t>
      </w:r>
      <w:proofErr w:type="spellEnd"/>
      <w:r w:rsidRPr="00BB1361">
        <w:t xml:space="preserve"> coordinator.</w:t>
      </w:r>
    </w:p>
    <w:p w14:paraId="4D7261C5" w14:textId="77777777" w:rsidR="00BB1361" w:rsidRPr="00BB1361" w:rsidRDefault="00BB1361" w:rsidP="00177562">
      <w:pPr>
        <w:jc w:val="both"/>
      </w:pPr>
      <w:r w:rsidRPr="00BB1361">
        <w:rPr>
          <w:b/>
          <w:bCs/>
        </w:rPr>
        <w:lastRenderedPageBreak/>
        <w:t xml:space="preserve">Central Finance and Contracting Agency (CFCA) – </w:t>
      </w:r>
      <w:r w:rsidRPr="00BB1361">
        <w:t>cooperation authority.</w:t>
      </w:r>
    </w:p>
    <w:p w14:paraId="381D9A29" w14:textId="77777777" w:rsidR="00BB1361" w:rsidRPr="00BB1361" w:rsidRDefault="00BB1361" w:rsidP="00177562">
      <w:pPr>
        <w:jc w:val="both"/>
      </w:pPr>
      <w:r w:rsidRPr="00BB1361">
        <w:rPr>
          <w:b/>
          <w:bCs/>
        </w:rPr>
        <w:t xml:space="preserve">State limited liability company “Maritime Administration of Latvia” (MAL) – </w:t>
      </w:r>
      <w:r w:rsidRPr="00BB1361">
        <w:t>project implementation partner and manager of SKLOIS ICT resources and services in accordance with the delegation arrangement.</w:t>
      </w:r>
    </w:p>
    <w:p w14:paraId="62AFD755" w14:textId="77777777" w:rsidR="00BB1361" w:rsidRPr="00BB1361" w:rsidRDefault="00BB1361" w:rsidP="00177562">
      <w:pPr>
        <w:jc w:val="both"/>
      </w:pPr>
      <w:r w:rsidRPr="00BB1361">
        <w:rPr>
          <w:b/>
          <w:bCs/>
        </w:rPr>
        <w:t xml:space="preserve">Legal entity responsible for the Port Platform – </w:t>
      </w:r>
      <w:r w:rsidRPr="00BB1361">
        <w:t>cooperation partner responsible for providing the integrated user working environment and related services.</w:t>
      </w:r>
    </w:p>
    <w:p w14:paraId="0EE4B9D0" w14:textId="77777777" w:rsidR="00BB1361" w:rsidRPr="00BB1361" w:rsidRDefault="00BB1361" w:rsidP="00177562">
      <w:pPr>
        <w:jc w:val="both"/>
      </w:pPr>
      <w:r w:rsidRPr="00BB1361">
        <w:rPr>
          <w:b/>
          <w:bCs/>
        </w:rPr>
        <w:t xml:space="preserve">Competent public authorities – </w:t>
      </w:r>
      <w:r w:rsidRPr="00BB1361">
        <w:t xml:space="preserve">the State Revenue Service, State Border Guard, State Environmental Service, Food and Veterinary Service, Coast Guard Service of the Latvian Naval Forces, Central Statistical Bureau and other authorities identified in the </w:t>
      </w:r>
      <w:proofErr w:type="gramStart"/>
      <w:r w:rsidRPr="00BB1361">
        <w:t>formalities</w:t>
      </w:r>
      <w:proofErr w:type="gramEnd"/>
      <w:r w:rsidRPr="00BB1361">
        <w:t xml:space="preserve"> coverage matrix.</w:t>
      </w:r>
    </w:p>
    <w:p w14:paraId="77B9238C" w14:textId="77777777" w:rsidR="00BB1361" w:rsidRPr="00BB1361" w:rsidRDefault="00BB1361" w:rsidP="00177562">
      <w:pPr>
        <w:jc w:val="both"/>
      </w:pPr>
      <w:r w:rsidRPr="00BB1361">
        <w:rPr>
          <w:b/>
          <w:bCs/>
        </w:rPr>
        <w:t xml:space="preserve">Users – </w:t>
      </w:r>
      <w:r w:rsidRPr="00BB1361">
        <w:t>ship agents, shipping companies, ship operators, data service providers and other declarants.</w:t>
      </w:r>
    </w:p>
    <w:p w14:paraId="14959A8A" w14:textId="77777777" w:rsidR="00BB1361" w:rsidRPr="00BB1361" w:rsidRDefault="00BB1361" w:rsidP="00177562">
      <w:pPr>
        <w:jc w:val="both"/>
      </w:pPr>
      <w:r w:rsidRPr="00BB1361">
        <w:rPr>
          <w:b/>
          <w:bCs/>
        </w:rPr>
        <w:t>7. Project Governance and Sustainability Requirements</w:t>
      </w:r>
    </w:p>
    <w:p w14:paraId="4A564A2B" w14:textId="77777777" w:rsidR="00BB1361" w:rsidRPr="00BB1361" w:rsidRDefault="00BB1361" w:rsidP="00177562">
      <w:pPr>
        <w:jc w:val="both"/>
      </w:pPr>
      <w:r w:rsidRPr="00BB1361">
        <w:t>Develop and regularly update the project risk register, with particular emphasis on risks related to regulatory deadlines, procurement, integrations, data quality, cybersecurity and external dependencies.</w:t>
      </w:r>
    </w:p>
    <w:p w14:paraId="6B6829A3" w14:textId="77777777" w:rsidR="00BB1361" w:rsidRPr="00BB1361" w:rsidRDefault="00BB1361" w:rsidP="00177562">
      <w:pPr>
        <w:jc w:val="both"/>
      </w:pPr>
      <w:r w:rsidRPr="00BB1361">
        <w:t>Ensure change and release management, configuration control, comprehensive audit logging and up-to-date documentation.</w:t>
      </w:r>
    </w:p>
    <w:p w14:paraId="16124023" w14:textId="77777777" w:rsidR="00BB1361" w:rsidRPr="00BB1361" w:rsidRDefault="00BB1361" w:rsidP="00177562">
      <w:pPr>
        <w:jc w:val="both"/>
      </w:pPr>
      <w:r w:rsidRPr="00BB1361">
        <w:t>Approve a financing model for maintenance, licensing, infrastructure and support for at least five years after completion of the project.</w:t>
      </w:r>
    </w:p>
    <w:p w14:paraId="5533442C" w14:textId="77777777" w:rsidR="00BB1361" w:rsidRPr="00BB1361" w:rsidRDefault="00BB1361" w:rsidP="00177562">
      <w:pPr>
        <w:jc w:val="both"/>
      </w:pPr>
      <w:r w:rsidRPr="00BB1361">
        <w:t>Provide a warranty period, knowledge transfer, access to source code and technical documentation, and the State’s ability to take over maintenance or transfer it to another service provider.</w:t>
      </w:r>
    </w:p>
    <w:p w14:paraId="2ACB3470" w14:textId="77777777" w:rsidR="00BB1361" w:rsidRPr="00BB1361" w:rsidRDefault="00BB1361" w:rsidP="00177562">
      <w:pPr>
        <w:jc w:val="both"/>
      </w:pPr>
      <w:r w:rsidRPr="00BB1361">
        <w:t>Before go-live, approve the business continuity, disaster recovery, data restoration and rollback plans.</w:t>
      </w:r>
    </w:p>
    <w:p w14:paraId="50A7681B" w14:textId="77777777" w:rsidR="00BB1361" w:rsidRPr="00BB1361" w:rsidRDefault="00BB1361" w:rsidP="00177562">
      <w:pPr>
        <w:jc w:val="both"/>
      </w:pPr>
      <w:r w:rsidRPr="00BB1361">
        <w:rPr>
          <w:b/>
          <w:bCs/>
        </w:rPr>
        <w:t>8. Consolidated Timeline</w:t>
      </w:r>
    </w:p>
    <w:tbl>
      <w:tblPr>
        <w:tblW w:w="0" w:type="dxa"/>
        <w:tblBorders>
          <w:top w:val="single" w:sz="2" w:space="0" w:color="auto"/>
          <w:left w:val="single" w:sz="2" w:space="0" w:color="auto"/>
          <w:bottom w:val="single" w:sz="2" w:space="0" w:color="auto"/>
          <w:right w:val="single" w:sz="2" w:space="0" w:color="auto"/>
        </w:tblBorders>
        <w:shd w:val="clear" w:color="auto" w:fill="FFFFFF"/>
        <w:tblLook w:val="04A0" w:firstRow="1" w:lastRow="0" w:firstColumn="1" w:lastColumn="0" w:noHBand="0" w:noVBand="1"/>
      </w:tblPr>
      <w:tblGrid>
        <w:gridCol w:w="2960"/>
        <w:gridCol w:w="3016"/>
        <w:gridCol w:w="3040"/>
      </w:tblGrid>
      <w:tr w:rsidR="00BB1361" w:rsidRPr="00BB1361" w14:paraId="1983E441" w14:textId="77777777">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4151AF39" w14:textId="77777777" w:rsidR="00BB1361" w:rsidRPr="00BB1361" w:rsidRDefault="00BB1361" w:rsidP="00177562">
            <w:pPr>
              <w:jc w:val="both"/>
            </w:pPr>
            <w:r w:rsidRPr="00BB1361">
              <w:rPr>
                <w:b/>
                <w:bCs/>
              </w:rPr>
              <w:t>Period</w:t>
            </w:r>
          </w:p>
        </w:tc>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75BBE842" w14:textId="77777777" w:rsidR="00BB1361" w:rsidRPr="00BB1361" w:rsidRDefault="00BB1361" w:rsidP="00177562">
            <w:pPr>
              <w:jc w:val="both"/>
            </w:pPr>
            <w:r w:rsidRPr="00BB1361">
              <w:rPr>
                <w:b/>
                <w:bCs/>
              </w:rPr>
              <w:t>Main result</w:t>
            </w:r>
          </w:p>
        </w:tc>
        <w:tc>
          <w:tcPr>
            <w:tcW w:w="3249" w:type="dxa"/>
            <w:tcBorders>
              <w:top w:val="single" w:sz="4" w:space="0" w:color="000000"/>
              <w:left w:val="single" w:sz="4" w:space="0" w:color="000000"/>
              <w:bottom w:val="single" w:sz="4" w:space="0" w:color="000000"/>
              <w:right w:val="single" w:sz="4" w:space="0" w:color="000000"/>
            </w:tcBorders>
            <w:shd w:val="clear" w:color="auto" w:fill="D9EAF7"/>
            <w:tcMar>
              <w:top w:w="0" w:type="dxa"/>
              <w:left w:w="0" w:type="dxa"/>
              <w:bottom w:w="0" w:type="dxa"/>
              <w:right w:w="0" w:type="dxa"/>
            </w:tcMar>
            <w:hideMark/>
          </w:tcPr>
          <w:p w14:paraId="44CA21EA" w14:textId="77777777" w:rsidR="00BB1361" w:rsidRPr="00BB1361" w:rsidRDefault="00BB1361" w:rsidP="00177562">
            <w:pPr>
              <w:jc w:val="both"/>
            </w:pPr>
            <w:r w:rsidRPr="00BB1361">
              <w:rPr>
                <w:b/>
                <w:bCs/>
              </w:rPr>
              <w:t>Note</w:t>
            </w:r>
          </w:p>
        </w:tc>
      </w:tr>
      <w:tr w:rsidR="00BB1361" w:rsidRPr="00BB1361" w14:paraId="08C76405"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3D847B5" w14:textId="77777777" w:rsidR="00BB1361" w:rsidRPr="00BB1361" w:rsidRDefault="00BB1361" w:rsidP="00177562">
            <w:pPr>
              <w:jc w:val="both"/>
            </w:pPr>
            <w:r w:rsidRPr="00BB1361">
              <w:t>Q2–Q4 2026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B43F080" w14:textId="77777777" w:rsidR="00BB1361" w:rsidRPr="00BB1361" w:rsidRDefault="00BB1361" w:rsidP="00177562">
            <w:r w:rsidRPr="00BB1361">
              <w:t>Architectural decision, cooperation model and engagement of a consultant</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86E412F" w14:textId="77777777" w:rsidR="00BB1361" w:rsidRPr="00BB1361" w:rsidRDefault="00BB1361" w:rsidP="00177562">
            <w:r w:rsidRPr="00BB1361">
              <w:t>The need for amendments to the project fiche and the CFCA agreement must be assessed</w:t>
            </w:r>
          </w:p>
        </w:tc>
      </w:tr>
      <w:tr w:rsidR="00BB1361" w:rsidRPr="00BB1361" w14:paraId="5E0AD882"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454D347" w14:textId="77777777" w:rsidR="00BB1361" w:rsidRPr="00BB1361" w:rsidRDefault="00BB1361" w:rsidP="00177562">
            <w:pPr>
              <w:jc w:val="both"/>
            </w:pPr>
            <w:r w:rsidRPr="00BB1361">
              <w:t>Q3 2026–February 2027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53A453A" w14:textId="77777777" w:rsidR="00BB1361" w:rsidRPr="00BB1361" w:rsidRDefault="00BB1361" w:rsidP="00177562">
            <w:r w:rsidRPr="00BB1361">
              <w:t>PoUS workstream</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77E9444" w14:textId="77777777" w:rsidR="00BB1361" w:rsidRPr="00BB1361" w:rsidRDefault="00BB1361" w:rsidP="00177562">
            <w:r w:rsidRPr="00BB1361">
              <w:t>Separate accelerated implementation</w:t>
            </w:r>
          </w:p>
        </w:tc>
      </w:tr>
      <w:tr w:rsidR="00BB1361" w:rsidRPr="00BB1361" w14:paraId="50B0BF41"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120CAF7" w14:textId="77777777" w:rsidR="00BB1361" w:rsidRPr="00BB1361" w:rsidRDefault="00BB1361" w:rsidP="00177562">
            <w:pPr>
              <w:jc w:val="both"/>
            </w:pPr>
            <w:r w:rsidRPr="00BB1361">
              <w:t>Q3–Q4 2026 to Q2 2027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2175A78" w14:textId="77777777" w:rsidR="00BB1361" w:rsidRPr="00BB1361" w:rsidRDefault="00BB1361" w:rsidP="00177562">
            <w:r w:rsidRPr="00BB1361">
              <w:t>Audit, gap analysis, process modelling and technical specifications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4F68749" w14:textId="77777777" w:rsidR="00BB1361" w:rsidRPr="00BB1361" w:rsidRDefault="00BB1361" w:rsidP="00177562">
            <w:r w:rsidRPr="00BB1361">
              <w:t>Must be completed before full-scale commencement of the main development</w:t>
            </w:r>
          </w:p>
        </w:tc>
      </w:tr>
      <w:tr w:rsidR="00BB1361" w:rsidRPr="00BB1361" w14:paraId="7CB254F3"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7A6023F" w14:textId="77777777" w:rsidR="00BB1361" w:rsidRPr="00BB1361" w:rsidRDefault="00BB1361" w:rsidP="00177562">
            <w:pPr>
              <w:jc w:val="both"/>
            </w:pPr>
            <w:r w:rsidRPr="00BB1361">
              <w:t>Q1–Q2 2027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26B0F85D" w14:textId="77777777" w:rsidR="00BB1361" w:rsidRPr="00BB1361" w:rsidRDefault="00BB1361" w:rsidP="00177562">
            <w:r w:rsidRPr="00BB1361">
              <w:t>Procurements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E34DA94" w14:textId="77777777" w:rsidR="00BB1361" w:rsidRPr="00BB1361" w:rsidRDefault="00BB1361" w:rsidP="00177562">
            <w:r w:rsidRPr="00BB1361">
              <w:t>Development, testing and infrastructure are coordinated</w:t>
            </w:r>
          </w:p>
        </w:tc>
      </w:tr>
      <w:tr w:rsidR="00BB1361" w:rsidRPr="00BB1361" w14:paraId="0D7C2ED1"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6071F1C6" w14:textId="77777777" w:rsidR="00BB1361" w:rsidRPr="00BB1361" w:rsidRDefault="00BB1361" w:rsidP="00177562">
            <w:pPr>
              <w:jc w:val="both"/>
            </w:pPr>
            <w:r w:rsidRPr="00BB1361">
              <w:lastRenderedPageBreak/>
              <w:t>Q2–Q3 2027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E5530BE" w14:textId="77777777" w:rsidR="00BB1361" w:rsidRPr="00BB1361" w:rsidRDefault="00BB1361" w:rsidP="00177562">
            <w:r w:rsidRPr="00BB1361">
              <w:t>RIM/URAM integration and MVP</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53BAD81" w14:textId="77777777" w:rsidR="00BB1361" w:rsidRPr="00BB1361" w:rsidRDefault="00BB1361" w:rsidP="00177562">
            <w:r w:rsidRPr="00BB1361">
              <w:t>The MVP does not constitute full regulatory compliance</w:t>
            </w:r>
          </w:p>
        </w:tc>
      </w:tr>
      <w:tr w:rsidR="00BB1361" w:rsidRPr="00BB1361" w14:paraId="41737B78"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01CD2A0" w14:textId="77777777" w:rsidR="00BB1361" w:rsidRPr="00BB1361" w:rsidRDefault="00BB1361" w:rsidP="00177562">
            <w:pPr>
              <w:jc w:val="both"/>
            </w:pPr>
            <w:r w:rsidRPr="00BB1361">
              <w:t>Q3 2027–Q1 2028</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1CC94800" w14:textId="77777777" w:rsidR="00BB1361" w:rsidRPr="00BB1361" w:rsidRDefault="00BB1361" w:rsidP="00177562">
            <w:r w:rsidRPr="00BB1361">
              <w:t>Releases integrating formalities and authorities</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0DBF5D9" w14:textId="77777777" w:rsidR="00BB1361" w:rsidRPr="00BB1361" w:rsidRDefault="00BB1361" w:rsidP="00177562">
            <w:r w:rsidRPr="00BB1361">
              <w:t>Short, regular releases based on priorities</w:t>
            </w:r>
          </w:p>
        </w:tc>
      </w:tr>
      <w:tr w:rsidR="00BB1361" w:rsidRPr="00BB1361" w14:paraId="08345C80" w14:textId="77777777">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06548B54" w14:textId="77777777" w:rsidR="00BB1361" w:rsidRPr="00BB1361" w:rsidRDefault="00BB1361" w:rsidP="00177562">
            <w:pPr>
              <w:jc w:val="both"/>
            </w:pPr>
            <w:r w:rsidRPr="00BB1361">
              <w:t>Q1–Q2 2028</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7471DC18" w14:textId="77777777" w:rsidR="00BB1361" w:rsidRPr="00BB1361" w:rsidRDefault="00BB1361" w:rsidP="00177562">
            <w:r w:rsidRPr="00BB1361">
              <w:t>Full integration, security testing, migration and production deployment</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14:paraId="4F1588F7" w14:textId="77777777" w:rsidR="00BB1361" w:rsidRPr="00BB1361" w:rsidRDefault="00BB1361" w:rsidP="00177562">
            <w:r w:rsidRPr="00BB1361">
              <w:t>Handover to maintenance after all criteria have been fulfilled</w:t>
            </w:r>
          </w:p>
        </w:tc>
      </w:tr>
    </w:tbl>
    <w:p w14:paraId="4E700033" w14:textId="77777777" w:rsidR="00177562" w:rsidRDefault="00177562" w:rsidP="00177562">
      <w:pPr>
        <w:jc w:val="both"/>
        <w:rPr>
          <w:b/>
          <w:bCs/>
        </w:rPr>
      </w:pPr>
    </w:p>
    <w:p w14:paraId="5BCD5C23" w14:textId="19B84D09" w:rsidR="00BB1361" w:rsidRPr="00BB1361" w:rsidRDefault="00BB1361" w:rsidP="00177562">
      <w:pPr>
        <w:jc w:val="both"/>
      </w:pPr>
      <w:r w:rsidRPr="00BB1361">
        <w:rPr>
          <w:b/>
          <w:bCs/>
        </w:rPr>
        <w:t>9. Critical Preconditions for Approval of the Plan</w:t>
      </w:r>
    </w:p>
    <w:p w14:paraId="7054890C" w14:textId="77777777" w:rsidR="00BB1361" w:rsidRPr="00BB1361" w:rsidRDefault="00BB1361" w:rsidP="00177562">
      <w:pPr>
        <w:jc w:val="both"/>
      </w:pPr>
      <w:r w:rsidRPr="00BB1361">
        <w:t xml:space="preserve">The allocation of responsibilities between SKLOIS/MNSW and the Port Platform has been </w:t>
      </w:r>
      <w:proofErr w:type="spellStart"/>
      <w:r w:rsidRPr="00BB1361">
        <w:t>formalised</w:t>
      </w:r>
      <w:proofErr w:type="spellEnd"/>
      <w:r w:rsidRPr="00BB1361">
        <w:t xml:space="preserve"> legally and technically.</w:t>
      </w:r>
    </w:p>
    <w:p w14:paraId="761A857F" w14:textId="77777777" w:rsidR="00BB1361" w:rsidRPr="00BB1361" w:rsidRDefault="00BB1361" w:rsidP="00177562">
      <w:pPr>
        <w:jc w:val="both"/>
      </w:pPr>
      <w:r w:rsidRPr="00BB1361">
        <w:t>The accelerated PoUS workstream has been approved, with a completion deadline by the end of February 2027.</w:t>
      </w:r>
    </w:p>
    <w:p w14:paraId="728047F4" w14:textId="77777777" w:rsidR="00BB1361" w:rsidRPr="00BB1361" w:rsidRDefault="00BB1361" w:rsidP="00177562">
      <w:pPr>
        <w:jc w:val="both"/>
      </w:pPr>
      <w:r w:rsidRPr="00BB1361">
        <w:t>The timeline has been aligned with the project fiche, project application and CFCA agreement, or the necessary amendments have been prepared.</w:t>
      </w:r>
    </w:p>
    <w:p w14:paraId="3E554E5B" w14:textId="77777777" w:rsidR="00BB1361" w:rsidRPr="00BB1361" w:rsidRDefault="00BB1361" w:rsidP="00177562">
      <w:pPr>
        <w:jc w:val="both"/>
      </w:pPr>
      <w:r w:rsidRPr="00BB1361">
        <w:t>The legal entity responsible for the Port Platform has been identified and a comprehensive cooperation agreement has been concluded.</w:t>
      </w:r>
    </w:p>
    <w:p w14:paraId="69ABD67E" w14:textId="77777777" w:rsidR="00BB1361" w:rsidRPr="00BB1361" w:rsidRDefault="00BB1361" w:rsidP="00177562">
      <w:pPr>
        <w:jc w:val="both"/>
      </w:pPr>
      <w:r w:rsidRPr="00BB1361">
        <w:t>A complete formalities coverage matrix and measurable acceptance criteria for each phase have been approved.</w:t>
      </w:r>
    </w:p>
    <w:p w14:paraId="02C5CE4A" w14:textId="77777777" w:rsidR="006470D1" w:rsidRDefault="006470D1" w:rsidP="00177562">
      <w:pPr>
        <w:jc w:val="both"/>
      </w:pPr>
    </w:p>
    <w:sectPr w:rsidR="006470D1" w:rsidSect="004373E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61"/>
    <w:rsid w:val="00177562"/>
    <w:rsid w:val="004373E3"/>
    <w:rsid w:val="00544700"/>
    <w:rsid w:val="006470D1"/>
    <w:rsid w:val="00682EEE"/>
    <w:rsid w:val="00746F36"/>
    <w:rsid w:val="00823A3B"/>
    <w:rsid w:val="00BB1361"/>
    <w:rsid w:val="00CD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78E2"/>
  <w15:chartTrackingRefBased/>
  <w15:docId w15:val="{FCA91DA1-F422-4365-9C70-90EACE1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B1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B1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B13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B13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B136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B13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136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B136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136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136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B136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B136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B136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B136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B136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136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B136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136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B1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B136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13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136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B136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1361"/>
    <w:rPr>
      <w:i/>
      <w:iCs/>
      <w:color w:val="404040" w:themeColor="text1" w:themeTint="BF"/>
    </w:rPr>
  </w:style>
  <w:style w:type="paragraph" w:styleId="Sarakstarindkopa">
    <w:name w:val="List Paragraph"/>
    <w:basedOn w:val="Parasts"/>
    <w:uiPriority w:val="34"/>
    <w:qFormat/>
    <w:rsid w:val="00BB1361"/>
    <w:pPr>
      <w:ind w:left="720"/>
      <w:contextualSpacing/>
    </w:pPr>
  </w:style>
  <w:style w:type="character" w:styleId="Intensvsizclums">
    <w:name w:val="Intense Emphasis"/>
    <w:basedOn w:val="Noklusjumarindkopasfonts"/>
    <w:uiPriority w:val="21"/>
    <w:qFormat/>
    <w:rsid w:val="00BB1361"/>
    <w:rPr>
      <w:i/>
      <w:iCs/>
      <w:color w:val="0F4761" w:themeColor="accent1" w:themeShade="BF"/>
    </w:rPr>
  </w:style>
  <w:style w:type="paragraph" w:styleId="Intensvscitts">
    <w:name w:val="Intense Quote"/>
    <w:basedOn w:val="Parasts"/>
    <w:next w:val="Parasts"/>
    <w:link w:val="IntensvscittsRakstz"/>
    <w:uiPriority w:val="30"/>
    <w:qFormat/>
    <w:rsid w:val="00BB1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B1361"/>
    <w:rPr>
      <w:i/>
      <w:iCs/>
      <w:color w:val="0F4761" w:themeColor="accent1" w:themeShade="BF"/>
    </w:rPr>
  </w:style>
  <w:style w:type="character" w:styleId="Intensvaatsauce">
    <w:name w:val="Intense Reference"/>
    <w:basedOn w:val="Noklusjumarindkopasfonts"/>
    <w:uiPriority w:val="32"/>
    <w:qFormat/>
    <w:rsid w:val="00BB1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8408</Words>
  <Characters>4794</Characters>
  <Application>Microsoft Office Word</Application>
  <DocSecurity>0</DocSecurity>
  <Lines>39</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Olita Magone</dc:creator>
  <cp:keywords/>
  <dc:description/>
  <cp:lastModifiedBy>Jan</cp:lastModifiedBy>
  <cp:revision>2</cp:revision>
  <dcterms:created xsi:type="dcterms:W3CDTF">2026-07-16T10:01:00Z</dcterms:created>
  <dcterms:modified xsi:type="dcterms:W3CDTF">2026-07-16T10:01:00Z</dcterms:modified>
</cp:coreProperties>
</file>