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2460" w14:textId="77777777" w:rsidR="00D97A15" w:rsidRPr="00D97A15" w:rsidRDefault="00D97A15" w:rsidP="00D97A15">
      <w:pPr>
        <w:shd w:val="clear" w:color="auto" w:fill="FFFFFF"/>
        <w:spacing w:after="0" w:line="240" w:lineRule="auto"/>
        <w:jc w:val="center"/>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32"/>
          <w:szCs w:val="32"/>
          <w:lang w:eastAsia="lv-LV"/>
          <w14:ligatures w14:val="none"/>
        </w:rPr>
        <w:t xml:space="preserve">Latvijas valsts jūras </w:t>
      </w:r>
      <w:proofErr w:type="spellStart"/>
      <w:r w:rsidRPr="00D97A15">
        <w:rPr>
          <w:rFonts w:eastAsia="Times New Roman" w:cs="Times New Roman"/>
          <w:b/>
          <w:bCs/>
          <w:color w:val="000000" w:themeColor="text1"/>
          <w:kern w:val="0"/>
          <w:sz w:val="32"/>
          <w:szCs w:val="32"/>
          <w:lang w:eastAsia="lv-LV"/>
          <w14:ligatures w14:val="none"/>
        </w:rPr>
        <w:t>vienloga</w:t>
      </w:r>
      <w:proofErr w:type="spellEnd"/>
      <w:r w:rsidRPr="00D97A15">
        <w:rPr>
          <w:rFonts w:eastAsia="Times New Roman" w:cs="Times New Roman"/>
          <w:b/>
          <w:bCs/>
          <w:color w:val="000000" w:themeColor="text1"/>
          <w:kern w:val="0"/>
          <w:sz w:val="32"/>
          <w:szCs w:val="32"/>
          <w:lang w:eastAsia="lv-LV"/>
          <w14:ligatures w14:val="none"/>
        </w:rPr>
        <w:t xml:space="preserve"> sistēmas (MNSW/SKLOIS)</w:t>
      </w:r>
      <w:r w:rsidRPr="00D97A15">
        <w:rPr>
          <w:rFonts w:eastAsia="Times New Roman" w:cs="Times New Roman"/>
          <w:b/>
          <w:bCs/>
          <w:color w:val="000000" w:themeColor="text1"/>
          <w:kern w:val="0"/>
          <w:sz w:val="32"/>
          <w:szCs w:val="32"/>
          <w:lang w:eastAsia="lv-LV"/>
          <w14:ligatures w14:val="none"/>
        </w:rPr>
        <w:br/>
        <w:t xml:space="preserve">pārplānošanas un </w:t>
      </w:r>
      <w:proofErr w:type="spellStart"/>
      <w:r w:rsidRPr="00D97A15">
        <w:rPr>
          <w:rFonts w:eastAsia="Times New Roman" w:cs="Times New Roman"/>
          <w:b/>
          <w:bCs/>
          <w:color w:val="000000" w:themeColor="text1"/>
          <w:kern w:val="0"/>
          <w:sz w:val="32"/>
          <w:szCs w:val="32"/>
          <w:lang w:eastAsia="lv-LV"/>
          <w14:ligatures w14:val="none"/>
        </w:rPr>
        <w:t>EMSWe</w:t>
      </w:r>
      <w:proofErr w:type="spellEnd"/>
      <w:r w:rsidRPr="00D97A15">
        <w:rPr>
          <w:rFonts w:eastAsia="Times New Roman" w:cs="Times New Roman"/>
          <w:b/>
          <w:bCs/>
          <w:color w:val="000000" w:themeColor="text1"/>
          <w:kern w:val="0"/>
          <w:sz w:val="32"/>
          <w:szCs w:val="32"/>
          <w:lang w:eastAsia="lv-LV"/>
          <w14:ligatures w14:val="none"/>
        </w:rPr>
        <w:t xml:space="preserve"> prasību ieviešanas plāns</w:t>
      </w:r>
    </w:p>
    <w:tbl>
      <w:tblPr>
        <w:tblW w:w="0" w:type="dxa"/>
        <w:tblBorders>
          <w:top w:val="single" w:sz="2" w:space="0" w:color="auto"/>
          <w:left w:val="single" w:sz="2" w:space="0" w:color="auto"/>
          <w:bottom w:val="single" w:sz="2" w:space="0" w:color="auto"/>
          <w:right w:val="single" w:sz="2" w:space="0" w:color="auto"/>
        </w:tblBorders>
        <w:shd w:val="clear" w:color="auto" w:fill="FFFFFF"/>
        <w:tblLook w:val="04A0" w:firstRow="1" w:lastRow="0" w:firstColumn="1" w:lastColumn="0" w:noHBand="0" w:noVBand="1"/>
      </w:tblPr>
      <w:tblGrid>
        <w:gridCol w:w="4517"/>
        <w:gridCol w:w="4499"/>
      </w:tblGrid>
      <w:tr w:rsidR="00D97A15" w:rsidRPr="00D97A15" w14:paraId="5D71C3BB"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F67B8"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Projekta statuss</w:t>
            </w:r>
          </w:p>
        </w:tc>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AC699"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Īstenošanā</w:t>
            </w:r>
          </w:p>
        </w:tc>
      </w:tr>
      <w:tr w:rsidR="00D97A15" w:rsidRPr="00D97A15" w14:paraId="0D15FD71"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EC934"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Pārplānotā ieviešanas posma periods</w:t>
            </w:r>
          </w:p>
        </w:tc>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9BBC9"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2026. gada 2. ceturksnis–2028. gada 2. ceturksnis</w:t>
            </w:r>
          </w:p>
        </w:tc>
      </w:tr>
      <w:tr w:rsidR="00D97A15" w:rsidRPr="00D97A15" w14:paraId="54ECDD4B"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88F5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Finansējuma saņēmējs un projekta īstenotājs</w:t>
            </w:r>
          </w:p>
        </w:tc>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0251F"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Satiksmes ministrija</w:t>
            </w:r>
          </w:p>
        </w:tc>
      </w:tr>
      <w:tr w:rsidR="00D97A15" w:rsidRPr="00D97A15" w14:paraId="7BFD9936"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F26795"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Sadarbības iestāde</w:t>
            </w:r>
          </w:p>
        </w:tc>
        <w:tc>
          <w:tcPr>
            <w:tcW w:w="48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7C70B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Centrālā finanšu un līgumu aģentūra</w:t>
            </w:r>
          </w:p>
        </w:tc>
      </w:tr>
    </w:tbl>
    <w:p w14:paraId="3E5FEB34" w14:textId="77777777" w:rsidR="00D97A15" w:rsidRPr="00D97A15" w:rsidRDefault="00D97A15" w:rsidP="00D97A15">
      <w:pPr>
        <w:shd w:val="clear" w:color="auto" w:fill="FFFFFF"/>
        <w:spacing w:after="0" w:line="240" w:lineRule="auto"/>
        <w:rPr>
          <w:rFonts w:eastAsia="Times New Roman" w:cs="Times New Roman"/>
          <w:b/>
          <w:bCs/>
          <w:color w:val="000000" w:themeColor="text1"/>
          <w:kern w:val="0"/>
          <w:sz w:val="28"/>
          <w:szCs w:val="28"/>
          <w:lang w:eastAsia="lv-LV"/>
          <w14:ligatures w14:val="none"/>
        </w:rPr>
      </w:pPr>
    </w:p>
    <w:p w14:paraId="4AEBA062" w14:textId="4C8250BB"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1. Projekta pamatojums un mērķis</w:t>
      </w:r>
    </w:p>
    <w:p w14:paraId="4C749B81" w14:textId="2CC724F7"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lang w:eastAsia="lv-LV"/>
          <w14:ligatures w14:val="none"/>
        </w:rPr>
        <w:t xml:space="preserve">Projekta mērķis ir pilnveidot Starptautisko kravu loģistikas un ostu informācijas sistēmu (SKLOIS), kas pilda Latvijas valsts jūras </w:t>
      </w:r>
      <w:proofErr w:type="spellStart"/>
      <w:r w:rsidRPr="00D97A15">
        <w:rPr>
          <w:rFonts w:eastAsia="Times New Roman" w:cs="Times New Roman"/>
          <w:color w:val="000000" w:themeColor="text1"/>
          <w:kern w:val="0"/>
          <w:lang w:eastAsia="lv-LV"/>
          <w14:ligatures w14:val="none"/>
        </w:rPr>
        <w:t>vienloga</w:t>
      </w:r>
      <w:proofErr w:type="spellEnd"/>
      <w:r w:rsidRPr="00D97A15">
        <w:rPr>
          <w:rFonts w:eastAsia="Times New Roman" w:cs="Times New Roman"/>
          <w:color w:val="000000" w:themeColor="text1"/>
          <w:kern w:val="0"/>
          <w:lang w:eastAsia="lv-LV"/>
          <w14:ligatures w14:val="none"/>
        </w:rPr>
        <w:t xml:space="preserve"> sistēmas (</w:t>
      </w:r>
      <w:proofErr w:type="spellStart"/>
      <w:r w:rsidRPr="00D97A15">
        <w:rPr>
          <w:rFonts w:eastAsia="Times New Roman" w:cs="Times New Roman"/>
          <w:color w:val="000000" w:themeColor="text1"/>
          <w:kern w:val="0"/>
          <w:lang w:eastAsia="lv-LV"/>
          <w14:ligatures w14:val="none"/>
        </w:rPr>
        <w:t>Maritime</w:t>
      </w:r>
      <w:proofErr w:type="spellEnd"/>
      <w:r w:rsidRPr="00D97A15">
        <w:rPr>
          <w:rFonts w:eastAsia="Times New Roman" w:cs="Times New Roman"/>
          <w:color w:val="000000" w:themeColor="text1"/>
          <w:kern w:val="0"/>
          <w:lang w:eastAsia="lv-LV"/>
          <w14:ligatures w14:val="none"/>
        </w:rPr>
        <w:t xml:space="preserve"> National </w:t>
      </w:r>
      <w:proofErr w:type="spellStart"/>
      <w:r w:rsidRPr="00D97A15">
        <w:rPr>
          <w:rFonts w:eastAsia="Times New Roman" w:cs="Times New Roman"/>
          <w:color w:val="000000" w:themeColor="text1"/>
          <w:kern w:val="0"/>
          <w:lang w:eastAsia="lv-LV"/>
          <w14:ligatures w14:val="none"/>
        </w:rPr>
        <w:t>Single</w:t>
      </w:r>
      <w:proofErr w:type="spellEnd"/>
      <w:r w:rsidRPr="00D97A15">
        <w:rPr>
          <w:rFonts w:eastAsia="Times New Roman" w:cs="Times New Roman"/>
          <w:color w:val="000000" w:themeColor="text1"/>
          <w:kern w:val="0"/>
          <w:lang w:eastAsia="lv-LV"/>
          <w14:ligatures w14:val="none"/>
        </w:rPr>
        <w:t xml:space="preserve"> </w:t>
      </w:r>
      <w:proofErr w:type="spellStart"/>
      <w:r w:rsidRPr="00D97A15">
        <w:rPr>
          <w:rFonts w:eastAsia="Times New Roman" w:cs="Times New Roman"/>
          <w:color w:val="000000" w:themeColor="text1"/>
          <w:kern w:val="0"/>
          <w:lang w:eastAsia="lv-LV"/>
          <w14:ligatures w14:val="none"/>
        </w:rPr>
        <w:t>Window</w:t>
      </w:r>
      <w:proofErr w:type="spellEnd"/>
      <w:r w:rsidRPr="00D97A15">
        <w:rPr>
          <w:rFonts w:eastAsia="Times New Roman" w:cs="Times New Roman"/>
          <w:color w:val="000000" w:themeColor="text1"/>
          <w:kern w:val="0"/>
          <w:lang w:eastAsia="lv-LV"/>
          <w14:ligatures w14:val="none"/>
        </w:rPr>
        <w:t xml:space="preserve"> – MNSW) funkcijas, lai nodrošinātu Eiropas Parlamenta un Padomes Regulas (ES) 2019/1239 par Eiropas Jūras </w:t>
      </w:r>
      <w:proofErr w:type="spellStart"/>
      <w:r w:rsidRPr="00D97A15">
        <w:rPr>
          <w:rFonts w:eastAsia="Times New Roman" w:cs="Times New Roman"/>
          <w:color w:val="000000" w:themeColor="text1"/>
          <w:kern w:val="0"/>
          <w:lang w:eastAsia="lv-LV"/>
          <w14:ligatures w14:val="none"/>
        </w:rPr>
        <w:t>vienloga</w:t>
      </w:r>
      <w:proofErr w:type="spellEnd"/>
      <w:r w:rsidRPr="00D97A15">
        <w:rPr>
          <w:rFonts w:eastAsia="Times New Roman" w:cs="Times New Roman"/>
          <w:color w:val="000000" w:themeColor="text1"/>
          <w:kern w:val="0"/>
          <w:lang w:eastAsia="lv-LV"/>
          <w14:ligatures w14:val="none"/>
        </w:rPr>
        <w:t xml:space="preserve"> sistēmas vidi (</w:t>
      </w:r>
      <w:proofErr w:type="spellStart"/>
      <w:r w:rsidRPr="00D97A15">
        <w:rPr>
          <w:rFonts w:eastAsia="Times New Roman" w:cs="Times New Roman"/>
          <w:color w:val="000000" w:themeColor="text1"/>
          <w:kern w:val="0"/>
          <w:lang w:eastAsia="lv-LV"/>
          <w14:ligatures w14:val="none"/>
        </w:rPr>
        <w:t>EMSWe</w:t>
      </w:r>
      <w:proofErr w:type="spellEnd"/>
      <w:r w:rsidRPr="00D97A15">
        <w:rPr>
          <w:rFonts w:eastAsia="Times New Roman" w:cs="Times New Roman"/>
          <w:color w:val="000000" w:themeColor="text1"/>
          <w:kern w:val="0"/>
          <w:lang w:eastAsia="lv-LV"/>
          <w14:ligatures w14:val="none"/>
        </w:rPr>
        <w:t>) prasību pilnīgu un ilgtspējīgu izpildi Latvijā.</w:t>
      </w:r>
    </w:p>
    <w:p w14:paraId="307E7DC7" w14:textId="54888494"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lang w:eastAsia="lv-LV"/>
          <w14:ligatures w14:val="none"/>
        </w:rPr>
        <w:t xml:space="preserve">SKLOIS/MNSW ietvarā tiks integrēts Eiropas Komisijas nodrošinātais ziņošanas </w:t>
      </w:r>
      <w:proofErr w:type="spellStart"/>
      <w:r w:rsidRPr="00D97A15">
        <w:rPr>
          <w:rFonts w:eastAsia="Times New Roman" w:cs="Times New Roman"/>
          <w:color w:val="000000" w:themeColor="text1"/>
          <w:kern w:val="0"/>
          <w:lang w:eastAsia="lv-LV"/>
          <w14:ligatures w14:val="none"/>
        </w:rPr>
        <w:t>saskarnes</w:t>
      </w:r>
      <w:proofErr w:type="spellEnd"/>
      <w:r w:rsidRPr="00D97A15">
        <w:rPr>
          <w:rFonts w:eastAsia="Times New Roman" w:cs="Times New Roman"/>
          <w:color w:val="000000" w:themeColor="text1"/>
          <w:kern w:val="0"/>
          <w:lang w:eastAsia="lv-LV"/>
          <w14:ligatures w14:val="none"/>
        </w:rPr>
        <w:t xml:space="preserve"> modulis (</w:t>
      </w:r>
      <w:proofErr w:type="spellStart"/>
      <w:r w:rsidRPr="00D97A15">
        <w:rPr>
          <w:rFonts w:eastAsia="Times New Roman" w:cs="Times New Roman"/>
          <w:color w:val="000000" w:themeColor="text1"/>
          <w:kern w:val="0"/>
          <w:lang w:eastAsia="lv-LV"/>
          <w14:ligatures w14:val="none"/>
        </w:rPr>
        <w:t>Reporting</w:t>
      </w:r>
      <w:proofErr w:type="spellEnd"/>
      <w:r w:rsidRPr="00D97A15">
        <w:rPr>
          <w:rFonts w:eastAsia="Times New Roman" w:cs="Times New Roman"/>
          <w:color w:val="000000" w:themeColor="text1"/>
          <w:kern w:val="0"/>
          <w:lang w:eastAsia="lv-LV"/>
          <w14:ligatures w14:val="none"/>
        </w:rPr>
        <w:t xml:space="preserve"> Interface </w:t>
      </w:r>
      <w:proofErr w:type="spellStart"/>
      <w:r w:rsidRPr="00D97A15">
        <w:rPr>
          <w:rFonts w:eastAsia="Times New Roman" w:cs="Times New Roman"/>
          <w:color w:val="000000" w:themeColor="text1"/>
          <w:kern w:val="0"/>
          <w:lang w:eastAsia="lv-LV"/>
          <w14:ligatures w14:val="none"/>
        </w:rPr>
        <w:t>Module</w:t>
      </w:r>
      <w:proofErr w:type="spellEnd"/>
      <w:r w:rsidRPr="00D97A15">
        <w:rPr>
          <w:rFonts w:eastAsia="Times New Roman" w:cs="Times New Roman"/>
          <w:color w:val="000000" w:themeColor="text1"/>
          <w:kern w:val="0"/>
          <w:lang w:eastAsia="lv-LV"/>
          <w14:ligatures w14:val="none"/>
        </w:rPr>
        <w:t xml:space="preserve"> – RIM), nodrošināta savietojamība ar lietotāju reģistrācijas un piekļuves pārvaldības risinājumu (User </w:t>
      </w:r>
      <w:proofErr w:type="spellStart"/>
      <w:r w:rsidRPr="00D97A15">
        <w:rPr>
          <w:rFonts w:eastAsia="Times New Roman" w:cs="Times New Roman"/>
          <w:color w:val="000000" w:themeColor="text1"/>
          <w:kern w:val="0"/>
          <w:lang w:eastAsia="lv-LV"/>
          <w14:ligatures w14:val="none"/>
        </w:rPr>
        <w:t>Registry</w:t>
      </w:r>
      <w:proofErr w:type="spellEnd"/>
      <w:r w:rsidRPr="00D97A15">
        <w:rPr>
          <w:rFonts w:eastAsia="Times New Roman" w:cs="Times New Roman"/>
          <w:color w:val="000000" w:themeColor="text1"/>
          <w:kern w:val="0"/>
          <w:lang w:eastAsia="lv-LV"/>
          <w14:ligatures w14:val="none"/>
        </w:rPr>
        <w:t xml:space="preserve"> </w:t>
      </w:r>
      <w:proofErr w:type="spellStart"/>
      <w:r w:rsidRPr="00D97A15">
        <w:rPr>
          <w:rFonts w:eastAsia="Times New Roman" w:cs="Times New Roman"/>
          <w:color w:val="000000" w:themeColor="text1"/>
          <w:kern w:val="0"/>
          <w:lang w:eastAsia="lv-LV"/>
          <w14:ligatures w14:val="none"/>
        </w:rPr>
        <w:t>and</w:t>
      </w:r>
      <w:proofErr w:type="spellEnd"/>
      <w:r w:rsidRPr="00D97A15">
        <w:rPr>
          <w:rFonts w:eastAsia="Times New Roman" w:cs="Times New Roman"/>
          <w:color w:val="000000" w:themeColor="text1"/>
          <w:kern w:val="0"/>
          <w:lang w:eastAsia="lv-LV"/>
          <w14:ligatures w14:val="none"/>
        </w:rPr>
        <w:t xml:space="preserve"> Access </w:t>
      </w:r>
      <w:proofErr w:type="spellStart"/>
      <w:r w:rsidRPr="00D97A15">
        <w:rPr>
          <w:rFonts w:eastAsia="Times New Roman" w:cs="Times New Roman"/>
          <w:color w:val="000000" w:themeColor="text1"/>
          <w:kern w:val="0"/>
          <w:lang w:eastAsia="lv-LV"/>
          <w14:ligatures w14:val="none"/>
        </w:rPr>
        <w:t>Management</w:t>
      </w:r>
      <w:proofErr w:type="spellEnd"/>
      <w:r w:rsidRPr="00D97A15">
        <w:rPr>
          <w:rFonts w:eastAsia="Times New Roman" w:cs="Times New Roman"/>
          <w:color w:val="000000" w:themeColor="text1"/>
          <w:kern w:val="0"/>
          <w:lang w:eastAsia="lv-LV"/>
          <w14:ligatures w14:val="none"/>
        </w:rPr>
        <w:t xml:space="preserve"> – URAM), </w:t>
      </w:r>
      <w:proofErr w:type="spellStart"/>
      <w:r w:rsidRPr="00D97A15">
        <w:rPr>
          <w:rFonts w:eastAsia="Times New Roman" w:cs="Times New Roman"/>
          <w:color w:val="000000" w:themeColor="text1"/>
          <w:kern w:val="0"/>
          <w:lang w:eastAsia="lv-LV"/>
          <w14:ligatures w14:val="none"/>
        </w:rPr>
        <w:t>EMSWe</w:t>
      </w:r>
      <w:proofErr w:type="spellEnd"/>
      <w:r w:rsidRPr="00D97A15">
        <w:rPr>
          <w:rFonts w:eastAsia="Times New Roman" w:cs="Times New Roman"/>
          <w:color w:val="000000" w:themeColor="text1"/>
          <w:kern w:val="0"/>
          <w:lang w:eastAsia="lv-LV"/>
          <w14:ligatures w14:val="none"/>
        </w:rPr>
        <w:t xml:space="preserve"> kopīgajām datubāzēm, </w:t>
      </w:r>
      <w:proofErr w:type="spellStart"/>
      <w:r w:rsidRPr="00D97A15">
        <w:rPr>
          <w:rFonts w:eastAsia="Times New Roman" w:cs="Times New Roman"/>
          <w:color w:val="000000" w:themeColor="text1"/>
          <w:kern w:val="0"/>
          <w:lang w:eastAsia="lv-LV"/>
          <w14:ligatures w14:val="none"/>
        </w:rPr>
        <w:t>SafeSeaNet</w:t>
      </w:r>
      <w:proofErr w:type="spellEnd"/>
      <w:r w:rsidRPr="00D97A15">
        <w:rPr>
          <w:rFonts w:eastAsia="Times New Roman" w:cs="Times New Roman"/>
          <w:color w:val="000000" w:themeColor="text1"/>
          <w:kern w:val="0"/>
          <w:lang w:eastAsia="lv-LV"/>
          <w14:ligatures w14:val="none"/>
        </w:rPr>
        <w:t xml:space="preserve"> un, ja </w:t>
      </w:r>
      <w:proofErr w:type="spellStart"/>
      <w:r w:rsidRPr="00D97A15">
        <w:rPr>
          <w:rFonts w:eastAsia="Times New Roman" w:cs="Times New Roman"/>
          <w:color w:val="000000" w:themeColor="text1"/>
          <w:kern w:val="0"/>
          <w:lang w:eastAsia="lv-LV"/>
          <w14:ligatures w14:val="none"/>
        </w:rPr>
        <w:t>analžes</w:t>
      </w:r>
      <w:proofErr w:type="spellEnd"/>
      <w:r w:rsidRPr="00D97A15">
        <w:rPr>
          <w:rFonts w:eastAsia="Times New Roman" w:cs="Times New Roman"/>
          <w:color w:val="000000" w:themeColor="text1"/>
          <w:kern w:val="0"/>
          <w:lang w:eastAsia="lv-LV"/>
          <w14:ligatures w14:val="none"/>
        </w:rPr>
        <w:t xml:space="preserve"> laikā tiks pieņemts attiecīgs arhitektūras lēmums, arī ar kopīgā adresācijas pakalpojuma (</w:t>
      </w:r>
      <w:proofErr w:type="spellStart"/>
      <w:r w:rsidRPr="00D97A15">
        <w:rPr>
          <w:rFonts w:eastAsia="Times New Roman" w:cs="Times New Roman"/>
          <w:color w:val="000000" w:themeColor="text1"/>
          <w:kern w:val="0"/>
          <w:lang w:eastAsia="lv-LV"/>
          <w14:ligatures w14:val="none"/>
        </w:rPr>
        <w:t>Common</w:t>
      </w:r>
      <w:proofErr w:type="spellEnd"/>
      <w:r w:rsidRPr="00D97A15">
        <w:rPr>
          <w:rFonts w:eastAsia="Times New Roman" w:cs="Times New Roman"/>
          <w:color w:val="000000" w:themeColor="text1"/>
          <w:kern w:val="0"/>
          <w:lang w:eastAsia="lv-LV"/>
          <w14:ligatures w14:val="none"/>
        </w:rPr>
        <w:t xml:space="preserve"> </w:t>
      </w:r>
      <w:proofErr w:type="spellStart"/>
      <w:r w:rsidRPr="00D97A15">
        <w:rPr>
          <w:rFonts w:eastAsia="Times New Roman" w:cs="Times New Roman"/>
          <w:color w:val="000000" w:themeColor="text1"/>
          <w:kern w:val="0"/>
          <w:lang w:eastAsia="lv-LV"/>
          <w14:ligatures w14:val="none"/>
        </w:rPr>
        <w:t>Addressing</w:t>
      </w:r>
      <w:proofErr w:type="spellEnd"/>
      <w:r w:rsidRPr="00D97A15">
        <w:rPr>
          <w:rFonts w:eastAsia="Times New Roman" w:cs="Times New Roman"/>
          <w:color w:val="000000" w:themeColor="text1"/>
          <w:kern w:val="0"/>
          <w:lang w:eastAsia="lv-LV"/>
          <w14:ligatures w14:val="none"/>
        </w:rPr>
        <w:t xml:space="preserve"> </w:t>
      </w:r>
      <w:proofErr w:type="spellStart"/>
      <w:r w:rsidRPr="00D97A15">
        <w:rPr>
          <w:rFonts w:eastAsia="Times New Roman" w:cs="Times New Roman"/>
          <w:color w:val="000000" w:themeColor="text1"/>
          <w:kern w:val="0"/>
          <w:lang w:eastAsia="lv-LV"/>
          <w14:ligatures w14:val="none"/>
        </w:rPr>
        <w:t>Service</w:t>
      </w:r>
      <w:proofErr w:type="spellEnd"/>
      <w:r w:rsidRPr="00D97A15">
        <w:rPr>
          <w:rFonts w:eastAsia="Times New Roman" w:cs="Times New Roman"/>
          <w:color w:val="000000" w:themeColor="text1"/>
          <w:kern w:val="0"/>
          <w:lang w:eastAsia="lv-LV"/>
          <w14:ligatures w14:val="none"/>
        </w:rPr>
        <w:t xml:space="preserve"> – CAS) valsts publicētāja mezglu.</w:t>
      </w:r>
    </w:p>
    <w:p w14:paraId="7FAC13EE" w14:textId="69F71229"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lang w:eastAsia="lv-LV"/>
          <w14:ligatures w14:val="none"/>
        </w:rPr>
        <w:t xml:space="preserve">Manuālās ziņošanas grafiskā lietotāja </w:t>
      </w:r>
      <w:proofErr w:type="spellStart"/>
      <w:r w:rsidRPr="00D97A15">
        <w:rPr>
          <w:rFonts w:eastAsia="Times New Roman" w:cs="Times New Roman"/>
          <w:color w:val="000000" w:themeColor="text1"/>
          <w:kern w:val="0"/>
          <w:lang w:eastAsia="lv-LV"/>
          <w14:ligatures w14:val="none"/>
        </w:rPr>
        <w:t>saskarne</w:t>
      </w:r>
      <w:proofErr w:type="spellEnd"/>
      <w:r w:rsidRPr="00D97A15">
        <w:rPr>
          <w:rFonts w:eastAsia="Times New Roman" w:cs="Times New Roman"/>
          <w:color w:val="000000" w:themeColor="text1"/>
          <w:kern w:val="0"/>
          <w:lang w:eastAsia="lv-LV"/>
          <w14:ligatures w14:val="none"/>
        </w:rPr>
        <w:t xml:space="preserve"> (GUI) tiks nodrošināta vienotā vidē ar Ostu platformu kā skaidri noteikta SKLOIS/MNSW sastāvdaļa (apakšsistēma), saglabājot Satiksmes ministrijas vienotu atbildību par MNSW darbību, drošību, datu pārvaldību un atbilstību regulas prasībām.</w:t>
      </w:r>
    </w:p>
    <w:p w14:paraId="4E036516" w14:textId="77777777" w:rsidR="00D97A15" w:rsidRDefault="00D97A15" w:rsidP="00D97A15">
      <w:pPr>
        <w:shd w:val="clear" w:color="auto" w:fill="FFFFFF"/>
        <w:spacing w:after="0" w:line="240" w:lineRule="auto"/>
        <w:rPr>
          <w:rFonts w:eastAsia="Times New Roman" w:cs="Times New Roman"/>
          <w:b/>
          <w:bCs/>
          <w:color w:val="000000" w:themeColor="text1"/>
          <w:kern w:val="0"/>
          <w:sz w:val="28"/>
          <w:szCs w:val="28"/>
          <w:lang w:eastAsia="lv-LV"/>
          <w14:ligatures w14:val="none"/>
        </w:rPr>
      </w:pPr>
    </w:p>
    <w:p w14:paraId="07858D19" w14:textId="46EB5AB3"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2. Projekta mērķi</w:t>
      </w:r>
    </w:p>
    <w:p w14:paraId="2982A078" w14:textId="42144B77" w:rsidR="00D97A15" w:rsidRPr="00D97A15" w:rsidRDefault="00D97A15" w:rsidP="00D92577">
      <w:pPr>
        <w:pStyle w:val="Sarakstarindkopa"/>
        <w:numPr>
          <w:ilvl w:val="0"/>
          <w:numId w:val="1"/>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 xml:space="preserve">Nodrošināt </w:t>
      </w:r>
      <w:proofErr w:type="spellStart"/>
      <w:r w:rsidRPr="00D97A15">
        <w:rPr>
          <w:rFonts w:eastAsia="Times New Roman" w:cs="Times New Roman"/>
          <w:color w:val="000000" w:themeColor="text1"/>
          <w:kern w:val="0"/>
          <w:sz w:val="21"/>
          <w:szCs w:val="21"/>
          <w:lang w:eastAsia="lv-LV"/>
          <w14:ligatures w14:val="none"/>
        </w:rPr>
        <w:t>EMSWe</w:t>
      </w:r>
      <w:proofErr w:type="spellEnd"/>
      <w:r w:rsidRPr="00D97A15">
        <w:rPr>
          <w:rFonts w:eastAsia="Times New Roman" w:cs="Times New Roman"/>
          <w:color w:val="000000" w:themeColor="text1"/>
          <w:kern w:val="0"/>
          <w:sz w:val="21"/>
          <w:szCs w:val="21"/>
          <w:lang w:eastAsia="lv-LV"/>
          <w14:ligatures w14:val="none"/>
        </w:rPr>
        <w:t xml:space="preserve"> regulas prasībām atbilstošu, tehniski stabilu un drošu Latvijas MNSW/SKLOIS risinājumu.</w:t>
      </w:r>
    </w:p>
    <w:p w14:paraId="1352F1C4" w14:textId="77777777" w:rsidR="00D97A15" w:rsidRPr="00D97A15" w:rsidRDefault="00D97A15" w:rsidP="00D92577">
      <w:pPr>
        <w:pStyle w:val="Sarakstarindkopa"/>
        <w:numPr>
          <w:ilvl w:val="0"/>
          <w:numId w:val="1"/>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Nodrošināt vienotu un lietotājiem ērtu darba vidi kuģu formalitāšu kārtošanai Latvijas ostās, izmantojot vienotu autentifikāciju un saskaņotus biznesa procesus.</w:t>
      </w:r>
    </w:p>
    <w:p w14:paraId="70119B55" w14:textId="77777777" w:rsidR="00D97A15" w:rsidRPr="00D97A15" w:rsidRDefault="00D97A15" w:rsidP="00D92577">
      <w:pPr>
        <w:pStyle w:val="Sarakstarindkopa"/>
        <w:numPr>
          <w:ilvl w:val="0"/>
          <w:numId w:val="1"/>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 xml:space="preserve">Integrēt SKLOIS, Ostu platformu un kompetento iestāžu informācijas sistēmas, nodrošinot nepārtrauktu datu apmaiņu ar Eiropas Komisijas un EMSA uzturētajiem </w:t>
      </w:r>
      <w:proofErr w:type="spellStart"/>
      <w:r w:rsidRPr="00D97A15">
        <w:rPr>
          <w:rFonts w:eastAsia="Times New Roman" w:cs="Times New Roman"/>
          <w:color w:val="000000" w:themeColor="text1"/>
          <w:kern w:val="0"/>
          <w:sz w:val="21"/>
          <w:szCs w:val="21"/>
          <w:lang w:eastAsia="lv-LV"/>
          <w14:ligatures w14:val="none"/>
        </w:rPr>
        <w:t>EMSWe</w:t>
      </w:r>
      <w:proofErr w:type="spellEnd"/>
      <w:r w:rsidRPr="00D97A15">
        <w:rPr>
          <w:rFonts w:eastAsia="Times New Roman" w:cs="Times New Roman"/>
          <w:color w:val="000000" w:themeColor="text1"/>
          <w:kern w:val="0"/>
          <w:sz w:val="21"/>
          <w:szCs w:val="21"/>
          <w:lang w:eastAsia="lv-LV"/>
          <w14:ligatures w14:val="none"/>
        </w:rPr>
        <w:t xml:space="preserve"> kopīgajiem komponentiem.</w:t>
      </w:r>
    </w:p>
    <w:p w14:paraId="6E80EF62" w14:textId="77777777" w:rsidR="00D97A15" w:rsidRPr="00D97A15" w:rsidRDefault="00D97A15" w:rsidP="00D92577">
      <w:pPr>
        <w:pStyle w:val="Sarakstarindkopa"/>
        <w:numPr>
          <w:ilvl w:val="0"/>
          <w:numId w:val="1"/>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Novērst esošās neatbilstības un nodrošināt pilnu formalitāšu, datu elementu, biznesa noteikumu un atbildes ziņojumu pārklājumu.</w:t>
      </w:r>
    </w:p>
    <w:p w14:paraId="636C64D5" w14:textId="77777777" w:rsidR="00D97A15" w:rsidRDefault="00D97A15" w:rsidP="00D92577">
      <w:pPr>
        <w:pStyle w:val="Sarakstarindkopa"/>
        <w:numPr>
          <w:ilvl w:val="0"/>
          <w:numId w:val="1"/>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Nodrošināt pārskatāmu sistēmas pārvaldības, uzturēšanas, kiberdrošības, incidentu vadības un finansēšanas modeli pēc projekta pabeigšanas.</w:t>
      </w:r>
    </w:p>
    <w:p w14:paraId="058720C9" w14:textId="77777777" w:rsidR="00D97A15" w:rsidRPr="00D97A15" w:rsidRDefault="00D97A15" w:rsidP="00D97A15">
      <w:pPr>
        <w:pStyle w:val="Sarakstarindkopa"/>
        <w:shd w:val="clear" w:color="auto" w:fill="FFFFFF"/>
        <w:spacing w:after="0" w:line="240" w:lineRule="auto"/>
        <w:ind w:left="1004"/>
        <w:rPr>
          <w:rFonts w:eastAsia="Times New Roman" w:cs="Times New Roman"/>
          <w:color w:val="000000" w:themeColor="text1"/>
          <w:kern w:val="0"/>
          <w:sz w:val="21"/>
          <w:szCs w:val="21"/>
          <w:lang w:eastAsia="lv-LV"/>
          <w14:ligatures w14:val="none"/>
        </w:rPr>
      </w:pPr>
    </w:p>
    <w:p w14:paraId="50651E50" w14:textId="77777777"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3. Arhitektūras un atbildības pamatprincipi</w:t>
      </w:r>
    </w:p>
    <w:p w14:paraId="35BCA282" w14:textId="49FBF0B0"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SKLOIS ir Latvijas MNSW kodols un valsts informācijas sistēma</w:t>
      </w:r>
      <w:r>
        <w:rPr>
          <w:rFonts w:eastAsia="Times New Roman" w:cs="Times New Roman"/>
          <w:color w:val="000000" w:themeColor="text1"/>
          <w:kern w:val="0"/>
          <w:sz w:val="21"/>
          <w:szCs w:val="21"/>
          <w:lang w:eastAsia="lv-LV"/>
          <w14:ligatures w14:val="none"/>
        </w:rPr>
        <w:t>,</w:t>
      </w:r>
      <w:r w:rsidRPr="00D97A15">
        <w:rPr>
          <w:rFonts w:eastAsia="Times New Roman" w:cs="Times New Roman"/>
          <w:color w:val="000000" w:themeColor="text1"/>
          <w:kern w:val="0"/>
          <w:sz w:val="21"/>
          <w:szCs w:val="21"/>
          <w:lang w:eastAsia="lv-LV"/>
          <w14:ligatures w14:val="none"/>
        </w:rPr>
        <w:t xml:space="preserve"> projekta ietvarā netiek veidot</w:t>
      </w:r>
      <w:r>
        <w:rPr>
          <w:rFonts w:eastAsia="Times New Roman" w:cs="Times New Roman"/>
          <w:color w:val="000000" w:themeColor="text1"/>
          <w:kern w:val="0"/>
          <w:sz w:val="21"/>
          <w:szCs w:val="21"/>
          <w:lang w:eastAsia="lv-LV"/>
          <w14:ligatures w14:val="none"/>
        </w:rPr>
        <w:t>a</w:t>
      </w:r>
      <w:r w:rsidRPr="00D97A15">
        <w:rPr>
          <w:rFonts w:eastAsia="Times New Roman" w:cs="Times New Roman"/>
          <w:color w:val="000000" w:themeColor="text1"/>
          <w:kern w:val="0"/>
          <w:sz w:val="21"/>
          <w:szCs w:val="21"/>
          <w:lang w:eastAsia="lv-LV"/>
          <w14:ligatures w14:val="none"/>
        </w:rPr>
        <w:t xml:space="preserve">s </w:t>
      </w:r>
      <w:r>
        <w:rPr>
          <w:rFonts w:eastAsia="Times New Roman" w:cs="Times New Roman"/>
          <w:color w:val="000000" w:themeColor="text1"/>
          <w:kern w:val="0"/>
          <w:sz w:val="21"/>
          <w:szCs w:val="21"/>
          <w:lang w:eastAsia="lv-LV"/>
          <w14:ligatures w14:val="none"/>
        </w:rPr>
        <w:t xml:space="preserve">jaunas vai </w:t>
      </w:r>
      <w:r w:rsidRPr="00D97A15">
        <w:rPr>
          <w:rFonts w:eastAsia="Times New Roman" w:cs="Times New Roman"/>
          <w:color w:val="000000" w:themeColor="text1"/>
          <w:kern w:val="0"/>
          <w:sz w:val="21"/>
          <w:szCs w:val="21"/>
          <w:lang w:eastAsia="lv-LV"/>
          <w14:ligatures w14:val="none"/>
        </w:rPr>
        <w:t>no SKLOIS nodalīt</w:t>
      </w:r>
      <w:r>
        <w:rPr>
          <w:rFonts w:eastAsia="Times New Roman" w:cs="Times New Roman"/>
          <w:color w:val="000000" w:themeColor="text1"/>
          <w:kern w:val="0"/>
          <w:sz w:val="21"/>
          <w:szCs w:val="21"/>
          <w:lang w:eastAsia="lv-LV"/>
          <w14:ligatures w14:val="none"/>
        </w:rPr>
        <w:t>as sistēmas</w:t>
      </w:r>
      <w:r w:rsidR="00D92577">
        <w:rPr>
          <w:rFonts w:eastAsia="Times New Roman" w:cs="Times New Roman"/>
          <w:color w:val="000000" w:themeColor="text1"/>
          <w:kern w:val="0"/>
          <w:sz w:val="21"/>
          <w:szCs w:val="21"/>
          <w:lang w:eastAsia="lv-LV"/>
          <w14:ligatures w14:val="none"/>
        </w:rPr>
        <w:t xml:space="preserve">. </w:t>
      </w:r>
      <w:r>
        <w:rPr>
          <w:rFonts w:eastAsia="Times New Roman" w:cs="Times New Roman"/>
          <w:color w:val="000000" w:themeColor="text1"/>
          <w:kern w:val="0"/>
          <w:sz w:val="21"/>
          <w:szCs w:val="21"/>
          <w:lang w:eastAsia="lv-LV"/>
          <w14:ligatures w14:val="none"/>
        </w:rPr>
        <w:t>Ziņojumapmaiņas nodrošināšanai</w:t>
      </w:r>
      <w:r w:rsidRPr="00D97A15">
        <w:rPr>
          <w:rFonts w:eastAsia="Times New Roman" w:cs="Times New Roman"/>
          <w:color w:val="000000" w:themeColor="text1"/>
          <w:kern w:val="0"/>
          <w:sz w:val="21"/>
          <w:szCs w:val="21"/>
          <w:lang w:eastAsia="lv-LV"/>
          <w14:ligatures w14:val="none"/>
        </w:rPr>
        <w:t xml:space="preserve"> tiek integrēta, konfigurēta, testēta un uzturēta Eiropas Komisijas nodrošinātā RIM programmatūras </w:t>
      </w:r>
      <w:proofErr w:type="spellStart"/>
      <w:r w:rsidRPr="00D97A15">
        <w:rPr>
          <w:rFonts w:eastAsia="Times New Roman" w:cs="Times New Roman"/>
          <w:color w:val="000000" w:themeColor="text1"/>
          <w:kern w:val="0"/>
          <w:sz w:val="21"/>
          <w:szCs w:val="21"/>
          <w:lang w:eastAsia="lv-LV"/>
          <w14:ligatures w14:val="none"/>
        </w:rPr>
        <w:t>pakotne</w:t>
      </w:r>
      <w:proofErr w:type="spellEnd"/>
      <w:r w:rsidRPr="00D97A15">
        <w:rPr>
          <w:rFonts w:eastAsia="Times New Roman" w:cs="Times New Roman"/>
          <w:color w:val="000000" w:themeColor="text1"/>
          <w:kern w:val="0"/>
          <w:sz w:val="21"/>
          <w:szCs w:val="21"/>
          <w:lang w:eastAsia="lv-LV"/>
          <w14:ligatures w14:val="none"/>
        </w:rPr>
        <w:t>.</w:t>
      </w:r>
      <w:r w:rsidR="00D92577">
        <w:rPr>
          <w:rFonts w:eastAsia="Times New Roman" w:cs="Times New Roman"/>
          <w:color w:val="000000" w:themeColor="text1"/>
          <w:kern w:val="0"/>
          <w:sz w:val="21"/>
          <w:szCs w:val="21"/>
          <w:lang w:eastAsia="lv-LV"/>
          <w14:ligatures w14:val="none"/>
        </w:rPr>
        <w:t xml:space="preserve"> </w:t>
      </w:r>
      <w:r w:rsidRPr="00D97A15">
        <w:rPr>
          <w:rFonts w:eastAsia="Times New Roman" w:cs="Times New Roman"/>
          <w:color w:val="000000" w:themeColor="text1"/>
          <w:kern w:val="0"/>
          <w:sz w:val="21"/>
          <w:szCs w:val="21"/>
          <w:lang w:eastAsia="lv-LV"/>
          <w14:ligatures w14:val="none"/>
        </w:rPr>
        <w:t>URAM izmantošanas modelis jāapstiprina arhitektūras lēmumā, nosakot lietotāju reģistrācijas iestādi, autentifikācijas mehānismu, EORI un elektronisko zīmogu pārbaudes procesu.</w:t>
      </w:r>
      <w:r w:rsidR="00D92577">
        <w:rPr>
          <w:rFonts w:eastAsia="Times New Roman" w:cs="Times New Roman"/>
          <w:color w:val="000000" w:themeColor="text1"/>
          <w:kern w:val="0"/>
          <w:sz w:val="21"/>
          <w:szCs w:val="21"/>
          <w:lang w:eastAsia="lv-LV"/>
          <w14:ligatures w14:val="none"/>
        </w:rPr>
        <w:t xml:space="preserve"> </w:t>
      </w:r>
      <w:r w:rsidRPr="00D97A15">
        <w:rPr>
          <w:rFonts w:eastAsia="Times New Roman" w:cs="Times New Roman"/>
          <w:color w:val="000000" w:themeColor="text1"/>
          <w:kern w:val="0"/>
          <w:sz w:val="21"/>
          <w:szCs w:val="21"/>
          <w:lang w:eastAsia="lv-LV"/>
          <w14:ligatures w14:val="none"/>
        </w:rPr>
        <w:t xml:space="preserve">CAS nav automātiski obligāta MNSW </w:t>
      </w:r>
      <w:proofErr w:type="spellStart"/>
      <w:r w:rsidRPr="00D97A15">
        <w:rPr>
          <w:rFonts w:eastAsia="Times New Roman" w:cs="Times New Roman"/>
          <w:color w:val="000000" w:themeColor="text1"/>
          <w:kern w:val="0"/>
          <w:sz w:val="21"/>
          <w:szCs w:val="21"/>
          <w:lang w:eastAsia="lv-LV"/>
          <w14:ligatures w14:val="none"/>
        </w:rPr>
        <w:t>pamatkomponente</w:t>
      </w:r>
      <w:proofErr w:type="spellEnd"/>
      <w:r w:rsidRPr="00D97A15">
        <w:rPr>
          <w:rFonts w:eastAsia="Times New Roman" w:cs="Times New Roman"/>
          <w:color w:val="000000" w:themeColor="text1"/>
          <w:kern w:val="0"/>
          <w:sz w:val="21"/>
          <w:szCs w:val="21"/>
          <w:lang w:eastAsia="lv-LV"/>
          <w14:ligatures w14:val="none"/>
        </w:rPr>
        <w:t xml:space="preserve">. </w:t>
      </w:r>
      <w:r>
        <w:rPr>
          <w:rFonts w:eastAsia="Times New Roman" w:cs="Times New Roman"/>
          <w:color w:val="000000" w:themeColor="text1"/>
          <w:kern w:val="0"/>
          <w:sz w:val="21"/>
          <w:szCs w:val="21"/>
          <w:lang w:eastAsia="lv-LV"/>
          <w14:ligatures w14:val="none"/>
        </w:rPr>
        <w:t>L</w:t>
      </w:r>
      <w:r w:rsidRPr="00D97A15">
        <w:rPr>
          <w:rFonts w:eastAsia="Times New Roman" w:cs="Times New Roman"/>
          <w:color w:val="000000" w:themeColor="text1"/>
          <w:kern w:val="0"/>
          <w:sz w:val="21"/>
          <w:szCs w:val="21"/>
          <w:lang w:eastAsia="lv-LV"/>
          <w14:ligatures w14:val="none"/>
        </w:rPr>
        <w:t xml:space="preserve">ēmums </w:t>
      </w:r>
      <w:r>
        <w:rPr>
          <w:rFonts w:eastAsia="Times New Roman" w:cs="Times New Roman"/>
          <w:color w:val="000000" w:themeColor="text1"/>
          <w:kern w:val="0"/>
          <w:sz w:val="21"/>
          <w:szCs w:val="21"/>
          <w:lang w:eastAsia="lv-LV"/>
          <w14:ligatures w14:val="none"/>
        </w:rPr>
        <w:t xml:space="preserve">par </w:t>
      </w:r>
      <w:r w:rsidRPr="00D97A15">
        <w:rPr>
          <w:rFonts w:eastAsia="Times New Roman" w:cs="Times New Roman"/>
          <w:color w:val="000000" w:themeColor="text1"/>
          <w:kern w:val="0"/>
          <w:sz w:val="21"/>
          <w:szCs w:val="21"/>
          <w:lang w:eastAsia="lv-LV"/>
          <w14:ligatures w14:val="none"/>
        </w:rPr>
        <w:t>CAS izmanto</w:t>
      </w:r>
      <w:r>
        <w:rPr>
          <w:rFonts w:eastAsia="Times New Roman" w:cs="Times New Roman"/>
          <w:color w:val="000000" w:themeColor="text1"/>
          <w:kern w:val="0"/>
          <w:sz w:val="21"/>
          <w:szCs w:val="21"/>
          <w:lang w:eastAsia="lv-LV"/>
          <w14:ligatures w14:val="none"/>
        </w:rPr>
        <w:t>šanu vēl nav pieņemts.</w:t>
      </w:r>
    </w:p>
    <w:p w14:paraId="15CB0938" w14:textId="711170A4" w:rsid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21"/>
          <w:szCs w:val="21"/>
          <w:lang w:eastAsia="lv-LV"/>
          <w14:ligatures w14:val="none"/>
        </w:rPr>
        <w:t>Ostu platformas GUI un ar to saistītā funkcionalitāte tiek iekļauta kopējā MNSW arhitektūrā ar skaidri noteiktām sistēmu robežām, datu plūsmām, īpašumtiesībām, SLA, incidentu vadību un izstāšanās kārtību.</w:t>
      </w:r>
      <w:r>
        <w:rPr>
          <w:rFonts w:eastAsia="Times New Roman" w:cs="Times New Roman"/>
          <w:color w:val="000000" w:themeColor="text1"/>
          <w:kern w:val="0"/>
          <w:sz w:val="21"/>
          <w:szCs w:val="21"/>
          <w:lang w:eastAsia="lv-LV"/>
          <w14:ligatures w14:val="none"/>
        </w:rPr>
        <w:t xml:space="preserve"> Tajā skaitā, k</w:t>
      </w:r>
      <w:r w:rsidRPr="00D97A15">
        <w:rPr>
          <w:rFonts w:eastAsia="Times New Roman" w:cs="Times New Roman"/>
          <w:color w:val="000000" w:themeColor="text1"/>
          <w:kern w:val="0"/>
          <w:sz w:val="21"/>
          <w:szCs w:val="21"/>
          <w:lang w:eastAsia="lv-LV"/>
          <w14:ligatures w14:val="none"/>
        </w:rPr>
        <w:t xml:space="preserve">atram datu elementam un procesam tiek noteikts autoritatīvais datu avots, datu pārzinis, datu saņēmējs un tehniskā </w:t>
      </w:r>
      <w:proofErr w:type="spellStart"/>
      <w:r w:rsidRPr="00D97A15">
        <w:rPr>
          <w:rFonts w:eastAsia="Times New Roman" w:cs="Times New Roman"/>
          <w:color w:val="000000" w:themeColor="text1"/>
          <w:kern w:val="0"/>
          <w:sz w:val="21"/>
          <w:szCs w:val="21"/>
          <w:lang w:eastAsia="lv-LV"/>
          <w14:ligatures w14:val="none"/>
        </w:rPr>
        <w:t>saskarne</w:t>
      </w:r>
      <w:proofErr w:type="spellEnd"/>
      <w:r w:rsidRPr="00D97A15">
        <w:rPr>
          <w:rFonts w:eastAsia="Times New Roman" w:cs="Times New Roman"/>
          <w:color w:val="000000" w:themeColor="text1"/>
          <w:kern w:val="0"/>
          <w:sz w:val="21"/>
          <w:szCs w:val="21"/>
          <w:lang w:eastAsia="lv-LV"/>
          <w14:ligatures w14:val="none"/>
        </w:rPr>
        <w:t>.</w:t>
      </w:r>
    </w:p>
    <w:p w14:paraId="42042167" w14:textId="77777777" w:rsidR="00D97A15" w:rsidRPr="00D97A15" w:rsidRDefault="00D97A15" w:rsidP="00D97A15">
      <w:pPr>
        <w:shd w:val="clear" w:color="auto" w:fill="FFFFFF"/>
        <w:spacing w:after="0" w:line="240" w:lineRule="auto"/>
        <w:ind w:left="284"/>
        <w:jc w:val="both"/>
        <w:rPr>
          <w:rFonts w:eastAsia="Times New Roman" w:cs="Times New Roman"/>
          <w:color w:val="000000" w:themeColor="text1"/>
          <w:kern w:val="0"/>
          <w:sz w:val="21"/>
          <w:szCs w:val="21"/>
          <w:lang w:eastAsia="lv-LV"/>
          <w14:ligatures w14:val="none"/>
        </w:rPr>
      </w:pPr>
    </w:p>
    <w:p w14:paraId="292D75C6" w14:textId="77777777"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4. Projekta galvenās aktivitātes un laika grafiks</w:t>
      </w:r>
    </w:p>
    <w:p w14:paraId="500BEAE5" w14:textId="77777777"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6"/>
          <w:szCs w:val="26"/>
          <w:lang w:eastAsia="lv-LV"/>
          <w14:ligatures w14:val="none"/>
        </w:rPr>
        <w:t>4.1. Pārvaldība, arhitektūra un sagatavošanās darbi (2026. gada 2.–4. ceturksnis)</w:t>
      </w:r>
    </w:p>
    <w:p w14:paraId="743F3558" w14:textId="77777777" w:rsidR="00D97A15" w:rsidRPr="000863FE" w:rsidRDefault="00D97A15" w:rsidP="00D92577">
      <w:pPr>
        <w:pStyle w:val="Sarakstarindkopa"/>
        <w:numPr>
          <w:ilvl w:val="0"/>
          <w:numId w:val="2"/>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Apstiprināt mērķa arhitektūru un kompetenču sadalījumu starp SM, VSIA “Latvijas Jūras administrācija”, Ostu platformas atbildīgo juridisko personu un kompetentajām iestādēm.</w:t>
      </w:r>
    </w:p>
    <w:p w14:paraId="37EE6F39" w14:textId="77777777" w:rsidR="00D97A15" w:rsidRPr="000863FE" w:rsidRDefault="00D97A15" w:rsidP="00D92577">
      <w:pPr>
        <w:pStyle w:val="Sarakstarindkopa"/>
        <w:numPr>
          <w:ilvl w:val="0"/>
          <w:numId w:val="2"/>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lastRenderedPageBreak/>
        <w:t>Izvērtēt, vai pārplānotā arhitektūra un termiņi atbilst projekta pasei, projekta iesniegumam, finansēšanas līgumam un spēkā esošajam normatīvajam regulējumam; nepieciešamības gadījumā sagatavot grozījumus.</w:t>
      </w:r>
    </w:p>
    <w:p w14:paraId="512DBA18" w14:textId="77777777" w:rsidR="00D97A15" w:rsidRPr="000863FE" w:rsidRDefault="00D97A15" w:rsidP="00D92577">
      <w:pPr>
        <w:pStyle w:val="Sarakstarindkopa"/>
        <w:numPr>
          <w:ilvl w:val="0"/>
          <w:numId w:val="2"/>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Noslēgt sadarbības līgumu ar konkrēti identificētu Ostu platformas atbildīgo juridisko personu, nosakot funkcionalitāti, SLA, pieejamību, drošību, datu aizsardzību, pirmkoda un intelektuālā īpašuma tiesības, finansēšanu, uzturēšanu, incidentu un izmaiņu vadību, risinājuma pārņemšanu un izstāšanās kārtību.</w:t>
      </w:r>
    </w:p>
    <w:p w14:paraId="62490322" w14:textId="77777777" w:rsidR="00D97A15" w:rsidRPr="000863FE" w:rsidRDefault="00D97A15" w:rsidP="00D92577">
      <w:pPr>
        <w:pStyle w:val="Sarakstarindkopa"/>
        <w:numPr>
          <w:ilvl w:val="0"/>
          <w:numId w:val="2"/>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Piesaistīt neatkarīgu konsultantu lietotāju vajadzību analīzei, mērķa arhitektūras un tehniskās specifikācijas izstrādei, kā arī autoruzraudzībai.</w:t>
      </w:r>
    </w:p>
    <w:p w14:paraId="260A1615" w14:textId="77777777" w:rsidR="00D97A15" w:rsidRDefault="00D97A15" w:rsidP="00D92577">
      <w:pPr>
        <w:pStyle w:val="Sarakstarindkopa"/>
        <w:numPr>
          <w:ilvl w:val="0"/>
          <w:numId w:val="2"/>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Izveidot projekta pārvaldības struktūru, lēmumu pieņemšanas kārtību, risku reģistru, izmaiņu vadību un regulāru atskaišu mehānismu.</w:t>
      </w:r>
    </w:p>
    <w:p w14:paraId="2CDCC861" w14:textId="77777777" w:rsidR="000863FE" w:rsidRPr="000863FE" w:rsidRDefault="000863FE" w:rsidP="000863FE">
      <w:pPr>
        <w:pStyle w:val="Sarakstarindkopa"/>
        <w:shd w:val="clear" w:color="auto" w:fill="FFFFFF"/>
        <w:spacing w:after="0" w:line="240" w:lineRule="auto"/>
        <w:rPr>
          <w:rFonts w:eastAsia="Times New Roman" w:cs="Times New Roman"/>
          <w:color w:val="000000" w:themeColor="text1"/>
          <w:kern w:val="0"/>
          <w:sz w:val="21"/>
          <w:szCs w:val="21"/>
          <w:lang w:eastAsia="lv-LV"/>
          <w14:ligatures w14:val="none"/>
        </w:rPr>
      </w:pPr>
    </w:p>
    <w:p w14:paraId="6BFDD83A"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6"/>
          <w:szCs w:val="26"/>
          <w:lang w:eastAsia="lv-LV"/>
          <w14:ligatures w14:val="none"/>
        </w:rPr>
        <w:t>4.2. Esošās situācijas audits un tehnisko specifikāciju izstrāde (2026. gada 3.–4. ceturksnis–2027. gada 2. ceturksnis)</w:t>
      </w:r>
    </w:p>
    <w:p w14:paraId="045D168B" w14:textId="77777777" w:rsidR="00D97A15" w:rsidRPr="000863FE" w:rsidRDefault="00D97A15" w:rsidP="00D92577">
      <w:pPr>
        <w:pStyle w:val="Sarakstarindkopa"/>
        <w:numPr>
          <w:ilvl w:val="0"/>
          <w:numId w:val="3"/>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Veikt SKLOIS funkcionalitātes, tehnoloģiju, integrāciju, datu kvalitātes, uzturēšanas, veiktspējas, kiberdrošības un darbības nepārtrauktības auditu.</w:t>
      </w:r>
    </w:p>
    <w:p w14:paraId="02369483" w14:textId="77777777" w:rsidR="00D97A15" w:rsidRPr="000863FE" w:rsidRDefault="00D97A15" w:rsidP="00D92577">
      <w:pPr>
        <w:pStyle w:val="Sarakstarindkopa"/>
        <w:numPr>
          <w:ilvl w:val="0"/>
          <w:numId w:val="3"/>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 xml:space="preserve">Izstrādāt pilnu </w:t>
      </w:r>
      <w:proofErr w:type="spellStart"/>
      <w:r w:rsidRPr="000863FE">
        <w:rPr>
          <w:rFonts w:eastAsia="Times New Roman" w:cs="Times New Roman"/>
          <w:color w:val="000000" w:themeColor="text1"/>
          <w:kern w:val="0"/>
          <w:sz w:val="21"/>
          <w:szCs w:val="21"/>
          <w:lang w:eastAsia="lv-LV"/>
          <w14:ligatures w14:val="none"/>
        </w:rPr>
        <w:t>EMSWe</w:t>
      </w:r>
      <w:proofErr w:type="spellEnd"/>
      <w:r w:rsidRPr="000863FE">
        <w:rPr>
          <w:rFonts w:eastAsia="Times New Roman" w:cs="Times New Roman"/>
          <w:color w:val="000000" w:themeColor="text1"/>
          <w:kern w:val="0"/>
          <w:sz w:val="21"/>
          <w:szCs w:val="21"/>
          <w:lang w:eastAsia="lv-LV"/>
          <w14:ligatures w14:val="none"/>
        </w:rPr>
        <w:t xml:space="preserve"> formalitāšu un </w:t>
      </w:r>
      <w:proofErr w:type="spellStart"/>
      <w:r w:rsidRPr="000863FE">
        <w:rPr>
          <w:rFonts w:eastAsia="Times New Roman" w:cs="Times New Roman"/>
          <w:color w:val="000000" w:themeColor="text1"/>
          <w:kern w:val="0"/>
          <w:sz w:val="21"/>
          <w:szCs w:val="21"/>
          <w:lang w:eastAsia="lv-LV"/>
          <w14:ligatures w14:val="none"/>
        </w:rPr>
        <w:t>saskarņu</w:t>
      </w:r>
      <w:proofErr w:type="spellEnd"/>
      <w:r w:rsidRPr="000863FE">
        <w:rPr>
          <w:rFonts w:eastAsia="Times New Roman" w:cs="Times New Roman"/>
          <w:color w:val="000000" w:themeColor="text1"/>
          <w:kern w:val="0"/>
          <w:sz w:val="21"/>
          <w:szCs w:val="21"/>
          <w:lang w:eastAsia="lv-LV"/>
          <w14:ligatures w14:val="none"/>
        </w:rPr>
        <w:t xml:space="preserve"> pārklājuma matricu, aptverot Savienības, starptautiskās un nacionālās formalitātes, kompetentās iestādes, datu elementus, biznesa noteikumus, iesniegšanas kanālus, atbildes ziņojumus, integrējamās sistēmas, testēšanas un produkcijas termiņus.</w:t>
      </w:r>
    </w:p>
    <w:p w14:paraId="02EC1A0B" w14:textId="0D3A374A" w:rsidR="00D97A15" w:rsidRPr="000863FE" w:rsidRDefault="00D97A15" w:rsidP="00D92577">
      <w:pPr>
        <w:pStyle w:val="Sarakstarindkopa"/>
        <w:numPr>
          <w:ilvl w:val="0"/>
          <w:numId w:val="3"/>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Veikt lauku līmeņa</w:t>
      </w:r>
      <w:r w:rsidR="000863FE">
        <w:rPr>
          <w:rFonts w:eastAsia="Times New Roman" w:cs="Times New Roman"/>
          <w:color w:val="000000" w:themeColor="text1"/>
          <w:kern w:val="0"/>
          <w:sz w:val="21"/>
          <w:szCs w:val="21"/>
          <w:lang w:eastAsia="lv-LV"/>
          <w14:ligatures w14:val="none"/>
        </w:rPr>
        <w:t xml:space="preserve"> GAP</w:t>
      </w:r>
      <w:r w:rsidRPr="000863FE">
        <w:rPr>
          <w:rFonts w:eastAsia="Times New Roman" w:cs="Times New Roman"/>
          <w:color w:val="000000" w:themeColor="text1"/>
          <w:kern w:val="0"/>
          <w:sz w:val="21"/>
          <w:szCs w:val="21"/>
          <w:lang w:eastAsia="lv-LV"/>
          <w14:ligatures w14:val="none"/>
        </w:rPr>
        <w:t xml:space="preserve"> analīzi starp aktuālo </w:t>
      </w:r>
      <w:proofErr w:type="spellStart"/>
      <w:r w:rsidRPr="000863FE">
        <w:rPr>
          <w:rFonts w:eastAsia="Times New Roman" w:cs="Times New Roman"/>
          <w:color w:val="000000" w:themeColor="text1"/>
          <w:kern w:val="0"/>
          <w:sz w:val="21"/>
          <w:szCs w:val="21"/>
          <w:lang w:eastAsia="lv-LV"/>
          <w14:ligatures w14:val="none"/>
        </w:rPr>
        <w:t>EMSWe</w:t>
      </w:r>
      <w:proofErr w:type="spellEnd"/>
      <w:r w:rsidRPr="000863FE">
        <w:rPr>
          <w:rFonts w:eastAsia="Times New Roman" w:cs="Times New Roman"/>
          <w:color w:val="000000" w:themeColor="text1"/>
          <w:kern w:val="0"/>
          <w:sz w:val="21"/>
          <w:szCs w:val="21"/>
          <w:lang w:eastAsia="lv-LV"/>
          <w14:ligatures w14:val="none"/>
        </w:rPr>
        <w:t xml:space="preserve"> datu kopu un nacionālajām sistēmām, iekļaujot datu migrācijas un datu kvalitātes sakārtošanas prasības.</w:t>
      </w:r>
    </w:p>
    <w:p w14:paraId="36AFD12B" w14:textId="77777777" w:rsidR="00D97A15" w:rsidRPr="000863FE" w:rsidRDefault="00D97A15" w:rsidP="00D92577">
      <w:pPr>
        <w:pStyle w:val="Sarakstarindkopa"/>
        <w:numPr>
          <w:ilvl w:val="0"/>
          <w:numId w:val="3"/>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 xml:space="preserve">Detalizēti modelēt MNSW biznesa procesus un </w:t>
      </w:r>
      <w:proofErr w:type="spellStart"/>
      <w:r w:rsidRPr="000863FE">
        <w:rPr>
          <w:rFonts w:eastAsia="Times New Roman" w:cs="Times New Roman"/>
          <w:color w:val="000000" w:themeColor="text1"/>
          <w:kern w:val="0"/>
          <w:sz w:val="21"/>
          <w:szCs w:val="21"/>
          <w:lang w:eastAsia="lv-LV"/>
          <w14:ligatures w14:val="none"/>
        </w:rPr>
        <w:t>saskarnes</w:t>
      </w:r>
      <w:proofErr w:type="spellEnd"/>
      <w:r w:rsidRPr="000863FE">
        <w:rPr>
          <w:rFonts w:eastAsia="Times New Roman" w:cs="Times New Roman"/>
          <w:color w:val="000000" w:themeColor="text1"/>
          <w:kern w:val="0"/>
          <w:sz w:val="21"/>
          <w:szCs w:val="21"/>
          <w:lang w:eastAsia="lv-LV"/>
          <w14:ligatures w14:val="none"/>
        </w:rPr>
        <w:t xml:space="preserve"> ar VID, Valsts robežsardzi, VVD, PVD, NBS Jūras spēku Krasta apsardzes dienestu, CSP, ostu sistēmām, </w:t>
      </w:r>
      <w:proofErr w:type="spellStart"/>
      <w:r w:rsidRPr="000863FE">
        <w:rPr>
          <w:rFonts w:eastAsia="Times New Roman" w:cs="Times New Roman"/>
          <w:color w:val="000000" w:themeColor="text1"/>
          <w:kern w:val="0"/>
          <w:sz w:val="21"/>
          <w:szCs w:val="21"/>
          <w:lang w:eastAsia="lv-LV"/>
          <w14:ligatures w14:val="none"/>
        </w:rPr>
        <w:t>SafeSeaNet</w:t>
      </w:r>
      <w:proofErr w:type="spellEnd"/>
      <w:r w:rsidRPr="000863FE">
        <w:rPr>
          <w:rFonts w:eastAsia="Times New Roman" w:cs="Times New Roman"/>
          <w:color w:val="000000" w:themeColor="text1"/>
          <w:kern w:val="0"/>
          <w:sz w:val="21"/>
          <w:szCs w:val="21"/>
          <w:lang w:eastAsia="lv-LV"/>
          <w14:ligatures w14:val="none"/>
        </w:rPr>
        <w:t xml:space="preserve">, </w:t>
      </w:r>
      <w:proofErr w:type="spellStart"/>
      <w:r w:rsidRPr="000863FE">
        <w:rPr>
          <w:rFonts w:eastAsia="Times New Roman" w:cs="Times New Roman"/>
          <w:color w:val="000000" w:themeColor="text1"/>
          <w:kern w:val="0"/>
          <w:sz w:val="21"/>
          <w:szCs w:val="21"/>
          <w:lang w:eastAsia="lv-LV"/>
          <w14:ligatures w14:val="none"/>
        </w:rPr>
        <w:t>EMSWe</w:t>
      </w:r>
      <w:proofErr w:type="spellEnd"/>
      <w:r w:rsidRPr="000863FE">
        <w:rPr>
          <w:rFonts w:eastAsia="Times New Roman" w:cs="Times New Roman"/>
          <w:color w:val="000000" w:themeColor="text1"/>
          <w:kern w:val="0"/>
          <w:sz w:val="21"/>
          <w:szCs w:val="21"/>
          <w:lang w:eastAsia="lv-LV"/>
          <w14:ligatures w14:val="none"/>
        </w:rPr>
        <w:t xml:space="preserve"> kopīgajām datubāzēm un citām iesaistītajām sistēmām.</w:t>
      </w:r>
    </w:p>
    <w:p w14:paraId="11F83FCD" w14:textId="77777777" w:rsidR="00D97A15" w:rsidRDefault="00D97A15" w:rsidP="00D92577">
      <w:pPr>
        <w:pStyle w:val="Sarakstarindkopa"/>
        <w:numPr>
          <w:ilvl w:val="0"/>
          <w:numId w:val="3"/>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Sagatavot tehnisko specifikāciju galvenajam izstrādes iepirkumam, ietverot funkcionālās, nefunkcionālās, drošības, testēšanas, migrācijas, nodošanas, garantijas un uzturēšanas prasības.</w:t>
      </w:r>
    </w:p>
    <w:p w14:paraId="607B728F" w14:textId="77777777" w:rsidR="000863FE" w:rsidRPr="000863FE" w:rsidRDefault="000863FE" w:rsidP="000863FE">
      <w:pPr>
        <w:pStyle w:val="Sarakstarindkopa"/>
        <w:shd w:val="clear" w:color="auto" w:fill="FFFFFF"/>
        <w:spacing w:after="0" w:line="240" w:lineRule="auto"/>
        <w:ind w:left="709"/>
        <w:rPr>
          <w:rFonts w:eastAsia="Times New Roman" w:cs="Times New Roman"/>
          <w:color w:val="000000" w:themeColor="text1"/>
          <w:kern w:val="0"/>
          <w:sz w:val="21"/>
          <w:szCs w:val="21"/>
          <w:lang w:eastAsia="lv-LV"/>
          <w14:ligatures w14:val="none"/>
        </w:rPr>
      </w:pPr>
    </w:p>
    <w:p w14:paraId="7BB45DDB"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6"/>
          <w:szCs w:val="26"/>
          <w:lang w:eastAsia="lv-LV"/>
          <w14:ligatures w14:val="none"/>
        </w:rPr>
        <w:t xml:space="preserve">4.3. Paātrinātais </w:t>
      </w:r>
      <w:proofErr w:type="spellStart"/>
      <w:r w:rsidRPr="00D97A15">
        <w:rPr>
          <w:rFonts w:eastAsia="Times New Roman" w:cs="Times New Roman"/>
          <w:b/>
          <w:bCs/>
          <w:color w:val="000000" w:themeColor="text1"/>
          <w:kern w:val="0"/>
          <w:sz w:val="26"/>
          <w:szCs w:val="26"/>
          <w:lang w:eastAsia="lv-LV"/>
          <w14:ligatures w14:val="none"/>
        </w:rPr>
        <w:t>PoUS</w:t>
      </w:r>
      <w:proofErr w:type="spellEnd"/>
      <w:r w:rsidRPr="00D97A15">
        <w:rPr>
          <w:rFonts w:eastAsia="Times New Roman" w:cs="Times New Roman"/>
          <w:b/>
          <w:bCs/>
          <w:color w:val="000000" w:themeColor="text1"/>
          <w:kern w:val="0"/>
          <w:sz w:val="26"/>
          <w:szCs w:val="26"/>
          <w:lang w:eastAsia="lv-LV"/>
          <w14:ligatures w14:val="none"/>
        </w:rPr>
        <w:t xml:space="preserve"> darba virziens (2026. gada 3. ceturksnis–2027. gada februāris)</w:t>
      </w:r>
    </w:p>
    <w:p w14:paraId="51819836" w14:textId="77777777" w:rsidR="00D97A15" w:rsidRPr="000863FE" w:rsidRDefault="00D97A15" w:rsidP="00D92577">
      <w:pPr>
        <w:pStyle w:val="Sarakstarindkopa"/>
        <w:numPr>
          <w:ilvl w:val="0"/>
          <w:numId w:val="4"/>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Atsevišķi no galvenā izstrādes cikla izstrādāt un ieviest MNSW savienojumu ar Savienības statusa apliecinājuma sistēmu (</w:t>
      </w:r>
      <w:proofErr w:type="spellStart"/>
      <w:r w:rsidRPr="000863FE">
        <w:rPr>
          <w:rFonts w:eastAsia="Times New Roman" w:cs="Times New Roman"/>
          <w:color w:val="000000" w:themeColor="text1"/>
          <w:kern w:val="0"/>
          <w:sz w:val="21"/>
          <w:szCs w:val="21"/>
          <w:lang w:eastAsia="lv-LV"/>
          <w14:ligatures w14:val="none"/>
        </w:rPr>
        <w:t>PoUS</w:t>
      </w:r>
      <w:proofErr w:type="spellEnd"/>
      <w:r w:rsidRPr="000863FE">
        <w:rPr>
          <w:rFonts w:eastAsia="Times New Roman" w:cs="Times New Roman"/>
          <w:color w:val="000000" w:themeColor="text1"/>
          <w:kern w:val="0"/>
          <w:sz w:val="21"/>
          <w:szCs w:val="21"/>
          <w:lang w:eastAsia="lv-LV"/>
          <w14:ligatures w14:val="none"/>
        </w:rPr>
        <w:t xml:space="preserve">) vai apstiprinātu nacionālo </w:t>
      </w:r>
      <w:proofErr w:type="spellStart"/>
      <w:r w:rsidRPr="000863FE">
        <w:rPr>
          <w:rFonts w:eastAsia="Times New Roman" w:cs="Times New Roman"/>
          <w:color w:val="000000" w:themeColor="text1"/>
          <w:kern w:val="0"/>
          <w:sz w:val="21"/>
          <w:szCs w:val="21"/>
          <w:lang w:eastAsia="lv-LV"/>
          <w14:ligatures w14:val="none"/>
        </w:rPr>
        <w:t>starprisinājumu</w:t>
      </w:r>
      <w:proofErr w:type="spellEnd"/>
      <w:r w:rsidRPr="000863FE">
        <w:rPr>
          <w:rFonts w:eastAsia="Times New Roman" w:cs="Times New Roman"/>
          <w:color w:val="000000" w:themeColor="text1"/>
          <w:kern w:val="0"/>
          <w:sz w:val="21"/>
          <w:szCs w:val="21"/>
          <w:lang w:eastAsia="lv-LV"/>
          <w14:ligatures w14:val="none"/>
        </w:rPr>
        <w:t>.</w:t>
      </w:r>
    </w:p>
    <w:p w14:paraId="73B940FB" w14:textId="77777777" w:rsidR="00D97A15" w:rsidRPr="000863FE" w:rsidRDefault="00D97A15" w:rsidP="00D92577">
      <w:pPr>
        <w:pStyle w:val="Sarakstarindkopa"/>
        <w:numPr>
          <w:ilvl w:val="0"/>
          <w:numId w:val="4"/>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Saskaņot datu plūsmas un atbildības modeli ar VID, novēršot dubultas datu iesniegšanas un pārbaudes risku.</w:t>
      </w:r>
    </w:p>
    <w:p w14:paraId="24FED692" w14:textId="614D64D4" w:rsidR="00D97A15" w:rsidRDefault="00D97A15" w:rsidP="00D92577">
      <w:pPr>
        <w:pStyle w:val="Sarakstarindkopa"/>
        <w:numPr>
          <w:ilvl w:val="0"/>
          <w:numId w:val="4"/>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Pabeigt tehnisko un lietotāju testēšanu un nodrošināt risinājuma gatavību ne vēlāk kā līdz 2027.gada februāra beigām.</w:t>
      </w:r>
    </w:p>
    <w:p w14:paraId="07CF41FA" w14:textId="77777777" w:rsidR="000863FE" w:rsidRPr="000863FE" w:rsidRDefault="000863FE" w:rsidP="00D92577">
      <w:pPr>
        <w:pStyle w:val="Sarakstarindkopa"/>
        <w:shd w:val="clear" w:color="auto" w:fill="FFFFFF"/>
        <w:spacing w:after="0" w:line="240" w:lineRule="auto"/>
        <w:ind w:left="709"/>
        <w:jc w:val="both"/>
        <w:rPr>
          <w:rFonts w:eastAsia="Times New Roman" w:cs="Times New Roman"/>
          <w:color w:val="000000" w:themeColor="text1"/>
          <w:kern w:val="0"/>
          <w:sz w:val="21"/>
          <w:szCs w:val="21"/>
          <w:lang w:eastAsia="lv-LV"/>
          <w14:ligatures w14:val="none"/>
        </w:rPr>
      </w:pPr>
    </w:p>
    <w:p w14:paraId="5F7A5C67"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6"/>
          <w:szCs w:val="26"/>
          <w:lang w:eastAsia="lv-LV"/>
          <w14:ligatures w14:val="none"/>
        </w:rPr>
        <w:t>4.4. Iepirkumu procedūras (2027. gada 1.–2. ceturksnis)</w:t>
      </w:r>
    </w:p>
    <w:p w14:paraId="7437D28D" w14:textId="77777777" w:rsidR="00D97A15" w:rsidRDefault="00D97A15" w:rsidP="00D92577">
      <w:pPr>
        <w:pStyle w:val="Sarakstarindkopa"/>
        <w:numPr>
          <w:ilvl w:val="0"/>
          <w:numId w:val="5"/>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 xml:space="preserve">Organizēt galveno izstrādes iepirkumu par SKLOIS/MNSW pilnveidi, RIM integrāciju, URAM savietojamību, nepieciešamajām </w:t>
      </w:r>
      <w:proofErr w:type="spellStart"/>
      <w:r w:rsidRPr="000863FE">
        <w:rPr>
          <w:rFonts w:eastAsia="Times New Roman" w:cs="Times New Roman"/>
          <w:color w:val="000000" w:themeColor="text1"/>
          <w:kern w:val="0"/>
          <w:sz w:val="21"/>
          <w:szCs w:val="21"/>
          <w:lang w:eastAsia="lv-LV"/>
          <w14:ligatures w14:val="none"/>
        </w:rPr>
        <w:t>EMSWe</w:t>
      </w:r>
      <w:proofErr w:type="spellEnd"/>
      <w:r w:rsidRPr="000863FE">
        <w:rPr>
          <w:rFonts w:eastAsia="Times New Roman" w:cs="Times New Roman"/>
          <w:color w:val="000000" w:themeColor="text1"/>
          <w:kern w:val="0"/>
          <w:sz w:val="21"/>
          <w:szCs w:val="21"/>
          <w:lang w:eastAsia="lv-LV"/>
          <w14:ligatures w14:val="none"/>
        </w:rPr>
        <w:t xml:space="preserve"> kopīgo komponentu integrācijām un sasaisti ar Ostu platformu.</w:t>
      </w:r>
    </w:p>
    <w:p w14:paraId="1319247B" w14:textId="4799466A" w:rsidR="000863FE" w:rsidRPr="000863FE" w:rsidRDefault="000863FE" w:rsidP="00D92577">
      <w:pPr>
        <w:pStyle w:val="Sarakstarindkopa"/>
        <w:numPr>
          <w:ilvl w:val="0"/>
          <w:numId w:val="5"/>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Nodrošināt</w:t>
      </w:r>
      <w:r>
        <w:rPr>
          <w:rFonts w:eastAsia="Times New Roman" w:cs="Times New Roman"/>
          <w:color w:val="000000" w:themeColor="text1"/>
          <w:kern w:val="0"/>
          <w:sz w:val="21"/>
          <w:szCs w:val="21"/>
          <w:lang w:eastAsia="lv-LV"/>
          <w14:ligatures w14:val="none"/>
        </w:rPr>
        <w:t xml:space="preserve"> izstrādes iepirkumu pie nosacījuma</w:t>
      </w:r>
      <w:r w:rsidRPr="000863FE">
        <w:rPr>
          <w:rFonts w:eastAsia="Times New Roman" w:cs="Times New Roman"/>
          <w:color w:val="000000" w:themeColor="text1"/>
          <w:kern w:val="0"/>
          <w:sz w:val="21"/>
          <w:szCs w:val="21"/>
          <w:lang w:eastAsia="lv-LV"/>
          <w14:ligatures w14:val="none"/>
        </w:rPr>
        <w:t>, ka vienotās darba vides izstrāde tiek organizēta saskaņoti ar SKLOIS/MNSW izstrādi un kopējo laidienu plānu</w:t>
      </w:r>
    </w:p>
    <w:p w14:paraId="1C956416" w14:textId="77777777" w:rsidR="00D97A15" w:rsidRPr="000863FE" w:rsidRDefault="00D97A15" w:rsidP="00D92577">
      <w:pPr>
        <w:pStyle w:val="Sarakstarindkopa"/>
        <w:numPr>
          <w:ilvl w:val="0"/>
          <w:numId w:val="5"/>
        </w:numPr>
        <w:shd w:val="clear" w:color="auto" w:fill="FFFFFF"/>
        <w:spacing w:after="0" w:line="240" w:lineRule="auto"/>
        <w:ind w:left="709" w:hanging="425"/>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 xml:space="preserve">Paralēli nodrošināt neatkarīgas testēšanas pakalpojumu un nepieciešamās infrastruktūras vai </w:t>
      </w:r>
      <w:proofErr w:type="spellStart"/>
      <w:r w:rsidRPr="000863FE">
        <w:rPr>
          <w:rFonts w:eastAsia="Times New Roman" w:cs="Times New Roman"/>
          <w:color w:val="000000" w:themeColor="text1"/>
          <w:kern w:val="0"/>
          <w:sz w:val="21"/>
          <w:szCs w:val="21"/>
          <w:lang w:eastAsia="lv-LV"/>
          <w14:ligatures w14:val="none"/>
        </w:rPr>
        <w:t>mākoņpakalpojumu</w:t>
      </w:r>
      <w:proofErr w:type="spellEnd"/>
      <w:r w:rsidRPr="000863FE">
        <w:rPr>
          <w:rFonts w:eastAsia="Times New Roman" w:cs="Times New Roman"/>
          <w:color w:val="000000" w:themeColor="text1"/>
          <w:kern w:val="0"/>
          <w:sz w:val="21"/>
          <w:szCs w:val="21"/>
          <w:lang w:eastAsia="lv-LV"/>
          <w14:ligatures w14:val="none"/>
        </w:rPr>
        <w:t xml:space="preserve"> iepirkumu, lai testēšanas vide būtu pieejama no pirmā nodevuma.</w:t>
      </w:r>
    </w:p>
    <w:p w14:paraId="2A2D5305" w14:textId="5E2F1E95" w:rsidR="00D97A15" w:rsidRPr="000863FE" w:rsidRDefault="00D97A15" w:rsidP="00D92577">
      <w:pPr>
        <w:pStyle w:val="Sarakstarindkopa"/>
        <w:shd w:val="clear" w:color="auto" w:fill="FFFFFF"/>
        <w:spacing w:after="0" w:line="240" w:lineRule="auto"/>
        <w:ind w:left="709"/>
        <w:jc w:val="both"/>
        <w:rPr>
          <w:rFonts w:eastAsia="Times New Roman" w:cs="Times New Roman"/>
          <w:color w:val="000000" w:themeColor="text1"/>
          <w:kern w:val="0"/>
          <w:sz w:val="21"/>
          <w:szCs w:val="21"/>
          <w:lang w:eastAsia="lv-LV"/>
          <w14:ligatures w14:val="none"/>
        </w:rPr>
      </w:pPr>
    </w:p>
    <w:p w14:paraId="27D6B50B"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6"/>
          <w:szCs w:val="26"/>
          <w:lang w:eastAsia="lv-LV"/>
          <w14:ligatures w14:val="none"/>
        </w:rPr>
        <w:t>4.5. Sistēmas izstrāde un pakāpeniska ieviešana (2027. gada 2. ceturksnis–2028. gada 2. ceturksnis)</w:t>
      </w:r>
    </w:p>
    <w:p w14:paraId="72EC32BF" w14:textId="77777777"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lang w:eastAsia="lv-LV"/>
          <w14:ligatures w14:val="none"/>
        </w:rPr>
        <w:t xml:space="preserve">1. posms – tehniskais ziņojumapmaiņas kanāls: </w:t>
      </w:r>
      <w:r w:rsidRPr="00D97A15">
        <w:rPr>
          <w:rFonts w:eastAsia="Times New Roman" w:cs="Times New Roman"/>
          <w:color w:val="000000" w:themeColor="text1"/>
          <w:kern w:val="0"/>
          <w:lang w:eastAsia="lv-LV"/>
          <w14:ligatures w14:val="none"/>
        </w:rPr>
        <w:t>RIM integrācija un konfigurēšana, AS4/</w:t>
      </w:r>
      <w:proofErr w:type="spellStart"/>
      <w:r w:rsidRPr="00D97A15">
        <w:rPr>
          <w:rFonts w:eastAsia="Times New Roman" w:cs="Times New Roman"/>
          <w:color w:val="000000" w:themeColor="text1"/>
          <w:kern w:val="0"/>
          <w:lang w:eastAsia="lv-LV"/>
          <w14:ligatures w14:val="none"/>
        </w:rPr>
        <w:t>eDelivery</w:t>
      </w:r>
      <w:proofErr w:type="spellEnd"/>
      <w:r w:rsidRPr="00D97A15">
        <w:rPr>
          <w:rFonts w:eastAsia="Times New Roman" w:cs="Times New Roman"/>
          <w:color w:val="000000" w:themeColor="text1"/>
          <w:kern w:val="0"/>
          <w:lang w:eastAsia="lv-LV"/>
          <w14:ligatures w14:val="none"/>
        </w:rPr>
        <w:t xml:space="preserve"> ziņojumapmaiņas izveide, CAS valsts publicētāja mezgla integrācija, ja tā apstiprināta, un tehniskā savietojamības testēšana ar EK/EMSA.</w:t>
      </w:r>
    </w:p>
    <w:p w14:paraId="6A63BBBA" w14:textId="77777777"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lang w:eastAsia="lv-LV"/>
          <w14:ligatures w14:val="none"/>
        </w:rPr>
        <w:t xml:space="preserve">2. posms – identitātes un pamata integrācijas: </w:t>
      </w:r>
      <w:r w:rsidRPr="00D97A15">
        <w:rPr>
          <w:rFonts w:eastAsia="Times New Roman" w:cs="Times New Roman"/>
          <w:color w:val="000000" w:themeColor="text1"/>
          <w:kern w:val="0"/>
          <w:lang w:eastAsia="lv-LV"/>
          <w14:ligatures w14:val="none"/>
        </w:rPr>
        <w:t>URAM savietojamība, centralizēta autentifikācija, lietotāju reģistrācijas process un pirmās pilnās datu plūsmas starp SKLOIS/MNSW, Ostu platformu un kompetento iestāžu sistēmām.</w:t>
      </w:r>
    </w:p>
    <w:p w14:paraId="0F25AF9B" w14:textId="77777777"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lang w:eastAsia="lv-LV"/>
          <w14:ligatures w14:val="none"/>
        </w:rPr>
        <w:lastRenderedPageBreak/>
        <w:t xml:space="preserve">MVP – tehniskās atbilstības demonstrācija (2027. gada 3. ceturksnis): </w:t>
      </w:r>
      <w:r w:rsidRPr="00D97A15">
        <w:rPr>
          <w:rFonts w:eastAsia="Times New Roman" w:cs="Times New Roman"/>
          <w:color w:val="000000" w:themeColor="text1"/>
          <w:kern w:val="0"/>
          <w:lang w:eastAsia="lv-LV"/>
          <w14:ligatures w14:val="none"/>
        </w:rPr>
        <w:t xml:space="preserve">Vismaz viena pilnībā funkcionējoša formalitāte produkcijai pietuvinātā vidē, ietverot iesniegšanu, validāciju, maršrutēšanu, atbildes ziņojumu un audita pierakstu. MVP nav uzskatāms par pilnu </w:t>
      </w:r>
      <w:proofErr w:type="spellStart"/>
      <w:r w:rsidRPr="00D97A15">
        <w:rPr>
          <w:rFonts w:eastAsia="Times New Roman" w:cs="Times New Roman"/>
          <w:color w:val="000000" w:themeColor="text1"/>
          <w:kern w:val="0"/>
          <w:lang w:eastAsia="lv-LV"/>
          <w14:ligatures w14:val="none"/>
        </w:rPr>
        <w:t>EMSWe</w:t>
      </w:r>
      <w:proofErr w:type="spellEnd"/>
      <w:r w:rsidRPr="00D97A15">
        <w:rPr>
          <w:rFonts w:eastAsia="Times New Roman" w:cs="Times New Roman"/>
          <w:color w:val="000000" w:themeColor="text1"/>
          <w:kern w:val="0"/>
          <w:lang w:eastAsia="lv-LV"/>
          <w14:ligatures w14:val="none"/>
        </w:rPr>
        <w:t xml:space="preserve"> regulatīvo atbilstību.</w:t>
      </w:r>
    </w:p>
    <w:p w14:paraId="33CE8967" w14:textId="77777777" w:rsidR="00D97A15" w:rsidRPr="00D97A15" w:rsidRDefault="00D97A15" w:rsidP="00D92577">
      <w:pPr>
        <w:shd w:val="clear" w:color="auto" w:fill="FFFFFF"/>
        <w:spacing w:after="0" w:line="240" w:lineRule="auto"/>
        <w:ind w:firstLine="720"/>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lang w:eastAsia="lv-LV"/>
          <w14:ligatures w14:val="none"/>
        </w:rPr>
        <w:t xml:space="preserve">3. posms – formalitāšu iteratīva pievienošana: </w:t>
      </w:r>
      <w:r w:rsidRPr="00D97A15">
        <w:rPr>
          <w:rFonts w:eastAsia="Times New Roman" w:cs="Times New Roman"/>
          <w:color w:val="000000" w:themeColor="text1"/>
          <w:kern w:val="0"/>
          <w:lang w:eastAsia="lv-LV"/>
          <w14:ligatures w14:val="none"/>
        </w:rPr>
        <w:t>Formalitātes tiek pievienotas regulāros, īsos laidienos, nevis tikai reizi sešos mēnešos. Prioritātes nosaka formalitāšu pārklājuma matrica un normatīvie termiņi.</w:t>
      </w:r>
    </w:p>
    <w:p w14:paraId="157A01D2" w14:textId="77777777" w:rsidR="00D97A15" w:rsidRDefault="00D97A15" w:rsidP="00D92577">
      <w:pPr>
        <w:shd w:val="clear" w:color="auto" w:fill="FFFFFF"/>
        <w:spacing w:after="0" w:line="240" w:lineRule="auto"/>
        <w:ind w:firstLine="720"/>
        <w:jc w:val="both"/>
        <w:rPr>
          <w:rFonts w:eastAsia="Times New Roman" w:cs="Times New Roman"/>
          <w:color w:val="000000" w:themeColor="text1"/>
          <w:kern w:val="0"/>
          <w:lang w:eastAsia="lv-LV"/>
          <w14:ligatures w14:val="none"/>
        </w:rPr>
      </w:pPr>
      <w:r w:rsidRPr="00D97A15">
        <w:rPr>
          <w:rFonts w:eastAsia="Times New Roman" w:cs="Times New Roman"/>
          <w:b/>
          <w:bCs/>
          <w:color w:val="000000" w:themeColor="text1"/>
          <w:kern w:val="0"/>
          <w:lang w:eastAsia="lv-LV"/>
          <w14:ligatures w14:val="none"/>
        </w:rPr>
        <w:t xml:space="preserve">4. posms – pilna integrācija, drošība un pāreja: </w:t>
      </w:r>
      <w:r w:rsidRPr="00D97A15">
        <w:rPr>
          <w:rFonts w:eastAsia="Times New Roman" w:cs="Times New Roman"/>
          <w:color w:val="000000" w:themeColor="text1"/>
          <w:kern w:val="0"/>
          <w:lang w:eastAsia="lv-LV"/>
          <w14:ligatures w14:val="none"/>
        </w:rPr>
        <w:t xml:space="preserve">Pilna </w:t>
      </w:r>
      <w:proofErr w:type="spellStart"/>
      <w:r w:rsidRPr="00D97A15">
        <w:rPr>
          <w:rFonts w:eastAsia="Times New Roman" w:cs="Times New Roman"/>
          <w:color w:val="000000" w:themeColor="text1"/>
          <w:kern w:val="0"/>
          <w:lang w:eastAsia="lv-LV"/>
          <w14:ligatures w14:val="none"/>
        </w:rPr>
        <w:t>saskarņu</w:t>
      </w:r>
      <w:proofErr w:type="spellEnd"/>
      <w:r w:rsidRPr="00D97A15">
        <w:rPr>
          <w:rFonts w:eastAsia="Times New Roman" w:cs="Times New Roman"/>
          <w:color w:val="000000" w:themeColor="text1"/>
          <w:kern w:val="0"/>
          <w:lang w:eastAsia="lv-LV"/>
          <w14:ligatures w14:val="none"/>
        </w:rPr>
        <w:t xml:space="preserve"> kopa, slodzes, drošības, darbības nepārtrauktības un atjaunošanas testi, datu migrācija, paralēlā darbība, produkcijas pārejas un atkāpšanās plāns, kā arī nodošana uzturēšanai.</w:t>
      </w:r>
    </w:p>
    <w:p w14:paraId="4F5890EB" w14:textId="77777777" w:rsidR="000863FE" w:rsidRPr="00D97A15" w:rsidRDefault="000863FE"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p>
    <w:p w14:paraId="04A4A11F"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6"/>
          <w:szCs w:val="26"/>
          <w:lang w:eastAsia="lv-LV"/>
          <w14:ligatures w14:val="none"/>
        </w:rPr>
        <w:t>4.6. Starptautiskā sadarbība, testēšana un komunikācija (2026. gada 4. ceturksnis–2028. gada 2. ceturksnis)</w:t>
      </w:r>
    </w:p>
    <w:p w14:paraId="3AC5CED8" w14:textId="77777777" w:rsidR="00D97A15" w:rsidRPr="000863FE" w:rsidRDefault="00D97A15" w:rsidP="00D92577">
      <w:pPr>
        <w:pStyle w:val="Sarakstarindkopa"/>
        <w:numPr>
          <w:ilvl w:val="0"/>
          <w:numId w:val="6"/>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Regulāri informēt Eiropas Komisiju un EMSA par Latvijas gatavību, starpposmu rezultātiem, riskiem un pagaidu risinājumiem.</w:t>
      </w:r>
    </w:p>
    <w:p w14:paraId="519D113B" w14:textId="77777777" w:rsidR="00D97A15" w:rsidRPr="000863FE" w:rsidRDefault="00D97A15" w:rsidP="00D92577">
      <w:pPr>
        <w:pStyle w:val="Sarakstarindkopa"/>
        <w:numPr>
          <w:ilvl w:val="0"/>
          <w:numId w:val="6"/>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 xml:space="preserve">Nodrošināt RIM, ziņojumu ieviešanas vadlīniju (MIG), XSD shēmu, biznesa noteikumu, atbildes ziņojumu, URAM, CAS un </w:t>
      </w:r>
      <w:proofErr w:type="spellStart"/>
      <w:r w:rsidRPr="000863FE">
        <w:rPr>
          <w:rFonts w:eastAsia="Times New Roman" w:cs="Times New Roman"/>
          <w:color w:val="000000" w:themeColor="text1"/>
          <w:kern w:val="0"/>
          <w:sz w:val="21"/>
          <w:szCs w:val="21"/>
          <w:lang w:eastAsia="lv-LV"/>
          <w14:ligatures w14:val="none"/>
        </w:rPr>
        <w:t>SafeSeaNet</w:t>
      </w:r>
      <w:proofErr w:type="spellEnd"/>
      <w:r w:rsidRPr="000863FE">
        <w:rPr>
          <w:rFonts w:eastAsia="Times New Roman" w:cs="Times New Roman"/>
          <w:color w:val="000000" w:themeColor="text1"/>
          <w:kern w:val="0"/>
          <w:sz w:val="21"/>
          <w:szCs w:val="21"/>
          <w:lang w:eastAsia="lv-LV"/>
          <w14:ligatures w14:val="none"/>
        </w:rPr>
        <w:t xml:space="preserve"> integrācijas testēšanu.</w:t>
      </w:r>
    </w:p>
    <w:p w14:paraId="11AAD955" w14:textId="77777777" w:rsidR="00D97A15" w:rsidRPr="000863FE" w:rsidRDefault="00D97A15" w:rsidP="00D92577">
      <w:pPr>
        <w:pStyle w:val="Sarakstarindkopa"/>
        <w:numPr>
          <w:ilvl w:val="0"/>
          <w:numId w:val="6"/>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Organizēt pilna cikla testus ar kuģu aģentiem, kuģošanas sabiedrībām un datu pakalpojumu sniedzējiem.</w:t>
      </w:r>
    </w:p>
    <w:p w14:paraId="62603DA3" w14:textId="7122117F" w:rsidR="00D97A15" w:rsidRDefault="00D97A15" w:rsidP="00D92577">
      <w:pPr>
        <w:pStyle w:val="Sarakstarindkopa"/>
        <w:numPr>
          <w:ilvl w:val="0"/>
          <w:numId w:val="6"/>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Sagatavot lietotāju apmācību, atbalsta materiālus, palīdzības dienesta modeli un vienotu informācijas vietni.</w:t>
      </w:r>
    </w:p>
    <w:p w14:paraId="43063856" w14:textId="77777777" w:rsidR="00D92577" w:rsidRPr="000863FE" w:rsidRDefault="00D92577" w:rsidP="00D92577">
      <w:pPr>
        <w:pStyle w:val="Sarakstarindkopa"/>
        <w:shd w:val="clear" w:color="auto" w:fill="FFFFFF"/>
        <w:spacing w:after="0" w:line="240" w:lineRule="auto"/>
        <w:jc w:val="both"/>
        <w:rPr>
          <w:rFonts w:eastAsia="Times New Roman" w:cs="Times New Roman"/>
          <w:color w:val="000000" w:themeColor="text1"/>
          <w:kern w:val="0"/>
          <w:sz w:val="21"/>
          <w:szCs w:val="21"/>
          <w:lang w:eastAsia="lv-LV"/>
          <w14:ligatures w14:val="none"/>
        </w:rPr>
      </w:pPr>
    </w:p>
    <w:p w14:paraId="2129730E" w14:textId="77777777"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5. Obligātie nodevumi un pieņemšanas kritēriji</w:t>
      </w:r>
    </w:p>
    <w:tbl>
      <w:tblPr>
        <w:tblW w:w="0" w:type="dxa"/>
        <w:tblBorders>
          <w:top w:val="single" w:sz="2" w:space="0" w:color="auto"/>
          <w:left w:val="single" w:sz="2" w:space="0" w:color="auto"/>
          <w:bottom w:val="single" w:sz="2" w:space="0" w:color="auto"/>
          <w:right w:val="single" w:sz="2" w:space="0" w:color="auto"/>
        </w:tblBorders>
        <w:shd w:val="clear" w:color="auto" w:fill="FFFFFF"/>
        <w:tblLook w:val="04A0" w:firstRow="1" w:lastRow="0" w:firstColumn="1" w:lastColumn="0" w:noHBand="0" w:noVBand="1"/>
      </w:tblPr>
      <w:tblGrid>
        <w:gridCol w:w="2987"/>
        <w:gridCol w:w="3016"/>
        <w:gridCol w:w="3013"/>
      </w:tblGrid>
      <w:tr w:rsidR="00D97A15" w:rsidRPr="00D97A15" w14:paraId="412012E3" w14:textId="77777777">
        <w:tc>
          <w:tcPr>
            <w:tcW w:w="3249" w:type="dxa"/>
            <w:tcBorders>
              <w:top w:val="single" w:sz="4" w:space="0" w:color="000000"/>
              <w:left w:val="single" w:sz="4" w:space="0" w:color="000000"/>
              <w:bottom w:val="single" w:sz="4" w:space="0" w:color="000000"/>
              <w:right w:val="single" w:sz="4" w:space="0" w:color="000000"/>
            </w:tcBorders>
            <w:shd w:val="clear" w:color="auto" w:fill="D9EAF7"/>
            <w:hideMark/>
          </w:tcPr>
          <w:p w14:paraId="4E2F959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Nodevums</w:t>
            </w:r>
          </w:p>
        </w:tc>
        <w:tc>
          <w:tcPr>
            <w:tcW w:w="3249" w:type="dxa"/>
            <w:tcBorders>
              <w:top w:val="single" w:sz="4" w:space="0" w:color="000000"/>
              <w:left w:val="single" w:sz="4" w:space="0" w:color="000000"/>
              <w:bottom w:val="single" w:sz="4" w:space="0" w:color="000000"/>
              <w:right w:val="single" w:sz="4" w:space="0" w:color="000000"/>
            </w:tcBorders>
            <w:shd w:val="clear" w:color="auto" w:fill="D9EAF7"/>
            <w:hideMark/>
          </w:tcPr>
          <w:p w14:paraId="128A697F"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Minimālais saturs</w:t>
            </w:r>
          </w:p>
        </w:tc>
        <w:tc>
          <w:tcPr>
            <w:tcW w:w="3249" w:type="dxa"/>
            <w:tcBorders>
              <w:top w:val="single" w:sz="4" w:space="0" w:color="000000"/>
              <w:left w:val="single" w:sz="4" w:space="0" w:color="000000"/>
              <w:bottom w:val="single" w:sz="4" w:space="0" w:color="000000"/>
              <w:right w:val="single" w:sz="4" w:space="0" w:color="000000"/>
            </w:tcBorders>
            <w:shd w:val="clear" w:color="auto" w:fill="D9EAF7"/>
            <w:hideMark/>
          </w:tcPr>
          <w:p w14:paraId="62FDE3FC"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Pieņemšanas kritērijs</w:t>
            </w:r>
          </w:p>
        </w:tc>
      </w:tr>
      <w:tr w:rsidR="00D97A15" w:rsidRPr="00D97A15" w14:paraId="3507F525"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06816E3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Mērķa arhitektūra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2E6E5FCB"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Sistēmu robežas, datu plūsmas, lomas, integrācijas, drošības un uzturēšanas modelis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5B5DB57A" w14:textId="29FE20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Apstiprināts SM un saskaņots ar Ostu platformas atbildīgo institūciju un kompetentajām iestādēm</w:t>
            </w:r>
          </w:p>
        </w:tc>
      </w:tr>
      <w:tr w:rsidR="00D97A15" w:rsidRPr="00D97A15" w14:paraId="20942ABB"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0D544E88"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Formalitāšu pārklājuma matrica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65572D2"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 xml:space="preserve">Visas </w:t>
            </w:r>
            <w:proofErr w:type="spellStart"/>
            <w:r w:rsidRPr="00D97A15">
              <w:rPr>
                <w:rFonts w:eastAsia="Times New Roman" w:cs="Times New Roman"/>
                <w:color w:val="000000" w:themeColor="text1"/>
                <w:kern w:val="0"/>
                <w:sz w:val="19"/>
                <w:szCs w:val="19"/>
                <w:lang w:eastAsia="lv-LV"/>
                <w14:ligatures w14:val="none"/>
              </w:rPr>
              <w:t>EMSWe</w:t>
            </w:r>
            <w:proofErr w:type="spellEnd"/>
            <w:r w:rsidRPr="00D97A15">
              <w:rPr>
                <w:rFonts w:eastAsia="Times New Roman" w:cs="Times New Roman"/>
                <w:color w:val="000000" w:themeColor="text1"/>
                <w:kern w:val="0"/>
                <w:sz w:val="19"/>
                <w:szCs w:val="19"/>
                <w:lang w:eastAsia="lv-LV"/>
                <w14:ligatures w14:val="none"/>
              </w:rPr>
              <w:t xml:space="preserve"> un nacionālās formalitātes, datu elementi, atbildes ziņojumi, kanāli, sistēmas un termiņi</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4722E41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Nav neidentificētu formalitāšu vai sistēmu īpašnieku</w:t>
            </w:r>
          </w:p>
        </w:tc>
      </w:tr>
      <w:tr w:rsidR="00D97A15" w:rsidRPr="00D97A15" w14:paraId="3706888F"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6F38178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Tehniskā specifikācija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55EAAC5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Funkcionālās, nefunkcionālās, drošības, migrācijas, testēšanas un uzturēšanas prasības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26E19464"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Apstiprināta iepirkuma izsludināšanai</w:t>
            </w:r>
          </w:p>
        </w:tc>
      </w:tr>
      <w:tr w:rsidR="00D97A15" w:rsidRPr="00D97A15" w14:paraId="01F9C518"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10B1B3B0"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proofErr w:type="spellStart"/>
            <w:r w:rsidRPr="00D97A15">
              <w:rPr>
                <w:rFonts w:eastAsia="Times New Roman" w:cs="Times New Roman"/>
                <w:color w:val="000000" w:themeColor="text1"/>
                <w:kern w:val="0"/>
                <w:sz w:val="19"/>
                <w:szCs w:val="19"/>
                <w:lang w:eastAsia="lv-LV"/>
                <w14:ligatures w14:val="none"/>
              </w:rPr>
              <w:t>PoUS</w:t>
            </w:r>
            <w:proofErr w:type="spellEnd"/>
            <w:r w:rsidRPr="00D97A15">
              <w:rPr>
                <w:rFonts w:eastAsia="Times New Roman" w:cs="Times New Roman"/>
                <w:color w:val="000000" w:themeColor="text1"/>
                <w:kern w:val="0"/>
                <w:sz w:val="19"/>
                <w:szCs w:val="19"/>
                <w:lang w:eastAsia="lv-LV"/>
                <w14:ligatures w14:val="none"/>
              </w:rPr>
              <w:t xml:space="preserve"> risinājums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0C472355"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Pilna datu plūsma, integrācija un testēšana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202336CB"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Gatavs produkcijai līdz 2027. gada februāra beigām</w:t>
            </w:r>
          </w:p>
        </w:tc>
      </w:tr>
      <w:tr w:rsidR="00D97A15" w:rsidRPr="00D97A15" w14:paraId="0F648747"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660AD7CC"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MVP</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4905A22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Viena pilna formalitāte ar visiem apstrādes posmiem</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82A720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Sekmīgi pabeigti tehniskie, drošības un lietotāju testi</w:t>
            </w:r>
          </w:p>
        </w:tc>
      </w:tr>
      <w:tr w:rsidR="00D97A15" w:rsidRPr="00D97A15" w14:paraId="679CAA99"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1EA66C7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Pilnā produkcija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19BB12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Pilns formalitāšu un integrāciju tvērums, migrācija, paralēlā darbība, dokumentācija un apmācības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CE7E72D"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Izpildīti visi pieņemšanas kritēriji un apstiprināta nodošana uzturēšanai</w:t>
            </w:r>
          </w:p>
        </w:tc>
      </w:tr>
    </w:tbl>
    <w:p w14:paraId="75AD215E" w14:textId="77777777" w:rsidR="000863FE" w:rsidRDefault="000863FE" w:rsidP="00D97A15">
      <w:pPr>
        <w:shd w:val="clear" w:color="auto" w:fill="FFFFFF"/>
        <w:spacing w:after="0" w:line="240" w:lineRule="auto"/>
        <w:rPr>
          <w:rFonts w:eastAsia="Times New Roman" w:cs="Times New Roman"/>
          <w:b/>
          <w:bCs/>
          <w:color w:val="000000" w:themeColor="text1"/>
          <w:kern w:val="0"/>
          <w:sz w:val="28"/>
          <w:szCs w:val="28"/>
          <w:lang w:eastAsia="lv-LV"/>
          <w14:ligatures w14:val="none"/>
        </w:rPr>
      </w:pPr>
    </w:p>
    <w:p w14:paraId="0049962A" w14:textId="153036A5"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6. Projekta partneri un iesaistītās puses</w:t>
      </w:r>
    </w:p>
    <w:p w14:paraId="2804862D" w14:textId="77777777" w:rsidR="00D92577" w:rsidRDefault="00D92577" w:rsidP="00D92577">
      <w:pPr>
        <w:shd w:val="clear" w:color="auto" w:fill="FFFFFF"/>
        <w:spacing w:after="0" w:line="240" w:lineRule="auto"/>
        <w:jc w:val="both"/>
        <w:rPr>
          <w:rFonts w:eastAsia="Times New Roman" w:cs="Times New Roman"/>
          <w:b/>
          <w:bCs/>
          <w:color w:val="000000" w:themeColor="text1"/>
          <w:kern w:val="0"/>
          <w:sz w:val="21"/>
          <w:szCs w:val="21"/>
          <w:lang w:eastAsia="lv-LV"/>
          <w14:ligatures w14:val="none"/>
        </w:rPr>
      </w:pPr>
    </w:p>
    <w:p w14:paraId="22126FEC" w14:textId="62A9D2B0"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1"/>
          <w:szCs w:val="21"/>
          <w:lang w:eastAsia="lv-LV"/>
          <w14:ligatures w14:val="none"/>
        </w:rPr>
        <w:t xml:space="preserve">Satiksmes ministrija (SM) – </w:t>
      </w:r>
      <w:r w:rsidRPr="00D97A15">
        <w:rPr>
          <w:rFonts w:eastAsia="Times New Roman" w:cs="Times New Roman"/>
          <w:color w:val="000000" w:themeColor="text1"/>
          <w:kern w:val="0"/>
          <w:sz w:val="21"/>
          <w:szCs w:val="21"/>
          <w:lang w:eastAsia="lv-LV"/>
          <w14:ligatures w14:val="none"/>
        </w:rPr>
        <w:t xml:space="preserve">finansējuma saņēmējs, projekta īstenotājs, SKLOIS pārzinis un </w:t>
      </w:r>
      <w:proofErr w:type="spellStart"/>
      <w:r w:rsidRPr="00D97A15">
        <w:rPr>
          <w:rFonts w:eastAsia="Times New Roman" w:cs="Times New Roman"/>
          <w:color w:val="000000" w:themeColor="text1"/>
          <w:kern w:val="0"/>
          <w:sz w:val="21"/>
          <w:szCs w:val="21"/>
          <w:lang w:eastAsia="lv-LV"/>
          <w14:ligatures w14:val="none"/>
        </w:rPr>
        <w:t>EMSWe</w:t>
      </w:r>
      <w:proofErr w:type="spellEnd"/>
      <w:r w:rsidRPr="00D97A15">
        <w:rPr>
          <w:rFonts w:eastAsia="Times New Roman" w:cs="Times New Roman"/>
          <w:color w:val="000000" w:themeColor="text1"/>
          <w:kern w:val="0"/>
          <w:sz w:val="21"/>
          <w:szCs w:val="21"/>
          <w:lang w:eastAsia="lv-LV"/>
          <w14:ligatures w14:val="none"/>
        </w:rPr>
        <w:t xml:space="preserve"> valsts koordinators.</w:t>
      </w:r>
    </w:p>
    <w:p w14:paraId="385C8016"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1"/>
          <w:szCs w:val="21"/>
          <w:lang w:eastAsia="lv-LV"/>
          <w14:ligatures w14:val="none"/>
        </w:rPr>
        <w:t xml:space="preserve">Centrālā finanšu un līgumu aģentūra (CFLA) – </w:t>
      </w:r>
      <w:r w:rsidRPr="00D97A15">
        <w:rPr>
          <w:rFonts w:eastAsia="Times New Roman" w:cs="Times New Roman"/>
          <w:color w:val="000000" w:themeColor="text1"/>
          <w:kern w:val="0"/>
          <w:sz w:val="21"/>
          <w:szCs w:val="21"/>
          <w:lang w:eastAsia="lv-LV"/>
          <w14:ligatures w14:val="none"/>
        </w:rPr>
        <w:t>sadarbības iestāde.</w:t>
      </w:r>
    </w:p>
    <w:p w14:paraId="4FAA9B91"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1"/>
          <w:szCs w:val="21"/>
          <w:lang w:eastAsia="lv-LV"/>
          <w14:ligatures w14:val="none"/>
        </w:rPr>
        <w:t xml:space="preserve">VSIA “Latvijas Jūras administrācija” (LJA) – </w:t>
      </w:r>
      <w:r w:rsidRPr="00D97A15">
        <w:rPr>
          <w:rFonts w:eastAsia="Times New Roman" w:cs="Times New Roman"/>
          <w:color w:val="000000" w:themeColor="text1"/>
          <w:kern w:val="0"/>
          <w:sz w:val="21"/>
          <w:szCs w:val="21"/>
          <w:lang w:eastAsia="lv-LV"/>
          <w14:ligatures w14:val="none"/>
        </w:rPr>
        <w:t>projekta īstenošanas partneris un SKLOIS IKT resursu un pakalpojumu pārvaldītājs saskaņā ar deleģējumu.</w:t>
      </w:r>
    </w:p>
    <w:p w14:paraId="5F1EDFC4"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1"/>
          <w:szCs w:val="21"/>
          <w:lang w:eastAsia="lv-LV"/>
          <w14:ligatures w14:val="none"/>
        </w:rPr>
        <w:t xml:space="preserve">Ostu platformas atbildīgā juridiskā persona – </w:t>
      </w:r>
      <w:r w:rsidRPr="00D97A15">
        <w:rPr>
          <w:rFonts w:eastAsia="Times New Roman" w:cs="Times New Roman"/>
          <w:color w:val="000000" w:themeColor="text1"/>
          <w:kern w:val="0"/>
          <w:sz w:val="21"/>
          <w:szCs w:val="21"/>
          <w:lang w:eastAsia="lv-LV"/>
          <w14:ligatures w14:val="none"/>
        </w:rPr>
        <w:t>sadarbības partneris vienotās lietotāju darba vides un ar to saistīto pakalpojumu nodrošināšanai.</w:t>
      </w:r>
    </w:p>
    <w:p w14:paraId="3E7B5717"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1"/>
          <w:szCs w:val="21"/>
          <w:lang w:eastAsia="lv-LV"/>
          <w14:ligatures w14:val="none"/>
        </w:rPr>
        <w:t xml:space="preserve">Kompetentās valsts institūcijas – </w:t>
      </w:r>
      <w:r w:rsidRPr="00D97A15">
        <w:rPr>
          <w:rFonts w:eastAsia="Times New Roman" w:cs="Times New Roman"/>
          <w:color w:val="000000" w:themeColor="text1"/>
          <w:kern w:val="0"/>
          <w:sz w:val="21"/>
          <w:szCs w:val="21"/>
          <w:lang w:eastAsia="lv-LV"/>
          <w14:ligatures w14:val="none"/>
        </w:rPr>
        <w:t>VID, Valsts robežsardze, VVD, PVD, NBS Jūras spēku Krasta apsardzes dienests, CSP un citas institūcijas atbilstoši formalitāšu pārklājuma matricai.</w:t>
      </w:r>
    </w:p>
    <w:p w14:paraId="1CC8F4FC" w14:textId="777777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1"/>
          <w:szCs w:val="21"/>
          <w:lang w:eastAsia="lv-LV"/>
          <w14:ligatures w14:val="none"/>
        </w:rPr>
        <w:t xml:space="preserve">Lietotāji – </w:t>
      </w:r>
      <w:r w:rsidRPr="00D97A15">
        <w:rPr>
          <w:rFonts w:eastAsia="Times New Roman" w:cs="Times New Roman"/>
          <w:color w:val="000000" w:themeColor="text1"/>
          <w:kern w:val="0"/>
          <w:sz w:val="21"/>
          <w:szCs w:val="21"/>
          <w:lang w:eastAsia="lv-LV"/>
          <w14:ligatures w14:val="none"/>
        </w:rPr>
        <w:t>kuģu aģenti, kuģošanas sabiedrības, kuģu operatori, datu pakalpojumu sniedzēji un citi deklarētāji.</w:t>
      </w:r>
    </w:p>
    <w:p w14:paraId="73A80C4A" w14:textId="77777777" w:rsidR="000863FE" w:rsidRDefault="000863FE" w:rsidP="00D92577">
      <w:pPr>
        <w:shd w:val="clear" w:color="auto" w:fill="FFFFFF"/>
        <w:spacing w:after="0" w:line="240" w:lineRule="auto"/>
        <w:jc w:val="both"/>
        <w:rPr>
          <w:rFonts w:eastAsia="Times New Roman" w:cs="Times New Roman"/>
          <w:b/>
          <w:bCs/>
          <w:color w:val="000000" w:themeColor="text1"/>
          <w:kern w:val="0"/>
          <w:sz w:val="28"/>
          <w:szCs w:val="28"/>
          <w:lang w:eastAsia="lv-LV"/>
          <w14:ligatures w14:val="none"/>
        </w:rPr>
      </w:pPr>
    </w:p>
    <w:p w14:paraId="646B230A" w14:textId="779A4077"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lastRenderedPageBreak/>
        <w:t>7. Projekta vadības un ilgtspējas prasības</w:t>
      </w:r>
    </w:p>
    <w:p w14:paraId="7D2C1903" w14:textId="77777777" w:rsidR="00D97A15" w:rsidRPr="000863FE" w:rsidRDefault="00D97A15" w:rsidP="00D92577">
      <w:pPr>
        <w:pStyle w:val="Sarakstarindkopa"/>
        <w:numPr>
          <w:ilvl w:val="0"/>
          <w:numId w:val="7"/>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Izstrādāt un regulāri aktualizēt projekta risku reģistru, īpaši izceļot normatīvo termiņu, iepirkumu, integrāciju, datu kvalitātes, kiberdrošības un ārējo atkarību riskus.</w:t>
      </w:r>
    </w:p>
    <w:p w14:paraId="1FC874E3" w14:textId="77777777" w:rsidR="00D97A15" w:rsidRPr="000863FE" w:rsidRDefault="00D97A15" w:rsidP="00D92577">
      <w:pPr>
        <w:pStyle w:val="Sarakstarindkopa"/>
        <w:numPr>
          <w:ilvl w:val="0"/>
          <w:numId w:val="7"/>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Nodrošināt izmaiņu un laidienu pārvaldību, konfigurācijas kontroli, pilnu auditācijas pierakstu un dokumentācijas aktualizēšanu.</w:t>
      </w:r>
    </w:p>
    <w:p w14:paraId="6838F869" w14:textId="77777777" w:rsidR="00D97A15" w:rsidRPr="000863FE" w:rsidRDefault="00D97A15" w:rsidP="00D92577">
      <w:pPr>
        <w:pStyle w:val="Sarakstarindkopa"/>
        <w:numPr>
          <w:ilvl w:val="0"/>
          <w:numId w:val="7"/>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Apstiprināt uzturēšanas, licencēšanas, infrastruktūras un atbalsta finansēšanas modeli vismaz pieciem gadiem pēc projekta pabeigšanas.</w:t>
      </w:r>
    </w:p>
    <w:p w14:paraId="6C9ECD14" w14:textId="77777777" w:rsidR="00D97A15" w:rsidRPr="000863FE" w:rsidRDefault="00D97A15" w:rsidP="00D92577">
      <w:pPr>
        <w:pStyle w:val="Sarakstarindkopa"/>
        <w:numPr>
          <w:ilvl w:val="0"/>
          <w:numId w:val="7"/>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Nodrošināt garantijas periodu, zināšanu nodošanu, pirmkoda un tehniskās dokumentācijas pieejamību, kā arī valsts iespēju pārņemt vai nodot uzturēšanu citam pakalpojuma sniedzējam.</w:t>
      </w:r>
    </w:p>
    <w:p w14:paraId="232E588D" w14:textId="77777777" w:rsidR="00D97A15" w:rsidRPr="000863FE" w:rsidRDefault="00D97A15" w:rsidP="00D92577">
      <w:pPr>
        <w:pStyle w:val="Sarakstarindkopa"/>
        <w:numPr>
          <w:ilvl w:val="0"/>
          <w:numId w:val="7"/>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Pirms produkcijas palaišanas apstiprināt darbības nepārtrauktības, katastrofu seku novēršanas, datu atjaunošanas un atkāpšanās plānus.</w:t>
      </w:r>
    </w:p>
    <w:p w14:paraId="43DC994D" w14:textId="77777777" w:rsidR="000863FE" w:rsidRDefault="000863FE" w:rsidP="00D97A15">
      <w:pPr>
        <w:shd w:val="clear" w:color="auto" w:fill="FFFFFF"/>
        <w:spacing w:after="0" w:line="240" w:lineRule="auto"/>
        <w:rPr>
          <w:rFonts w:eastAsia="Times New Roman" w:cs="Times New Roman"/>
          <w:b/>
          <w:bCs/>
          <w:color w:val="000000" w:themeColor="text1"/>
          <w:kern w:val="0"/>
          <w:sz w:val="28"/>
          <w:szCs w:val="28"/>
          <w:lang w:eastAsia="lv-LV"/>
          <w14:ligatures w14:val="none"/>
        </w:rPr>
      </w:pPr>
    </w:p>
    <w:p w14:paraId="4407DC6F" w14:textId="648455CE" w:rsidR="00D97A15" w:rsidRPr="00D97A15" w:rsidRDefault="00D97A15" w:rsidP="00D97A15">
      <w:pPr>
        <w:shd w:val="clear" w:color="auto" w:fill="FFFFFF"/>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8. Konsolidētais laika grafiks</w:t>
      </w:r>
    </w:p>
    <w:tbl>
      <w:tblPr>
        <w:tblW w:w="0" w:type="dxa"/>
        <w:tblBorders>
          <w:top w:val="single" w:sz="2" w:space="0" w:color="auto"/>
          <w:left w:val="single" w:sz="2" w:space="0" w:color="auto"/>
          <w:bottom w:val="single" w:sz="2" w:space="0" w:color="auto"/>
          <w:right w:val="single" w:sz="2" w:space="0" w:color="auto"/>
        </w:tblBorders>
        <w:shd w:val="clear" w:color="auto" w:fill="FFFFFF"/>
        <w:tblLook w:val="04A0" w:firstRow="1" w:lastRow="0" w:firstColumn="1" w:lastColumn="0" w:noHBand="0" w:noVBand="1"/>
      </w:tblPr>
      <w:tblGrid>
        <w:gridCol w:w="2993"/>
        <w:gridCol w:w="3006"/>
        <w:gridCol w:w="3017"/>
      </w:tblGrid>
      <w:tr w:rsidR="00D97A15" w:rsidRPr="00D97A15" w14:paraId="75E1FD31" w14:textId="77777777">
        <w:tc>
          <w:tcPr>
            <w:tcW w:w="3249" w:type="dxa"/>
            <w:tcBorders>
              <w:top w:val="single" w:sz="4" w:space="0" w:color="000000"/>
              <w:left w:val="single" w:sz="4" w:space="0" w:color="000000"/>
              <w:bottom w:val="single" w:sz="4" w:space="0" w:color="000000"/>
              <w:right w:val="single" w:sz="4" w:space="0" w:color="000000"/>
            </w:tcBorders>
            <w:shd w:val="clear" w:color="auto" w:fill="D9EAF7"/>
            <w:hideMark/>
          </w:tcPr>
          <w:p w14:paraId="7CA0658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Periods</w:t>
            </w:r>
          </w:p>
        </w:tc>
        <w:tc>
          <w:tcPr>
            <w:tcW w:w="3249" w:type="dxa"/>
            <w:tcBorders>
              <w:top w:val="single" w:sz="4" w:space="0" w:color="000000"/>
              <w:left w:val="single" w:sz="4" w:space="0" w:color="000000"/>
              <w:bottom w:val="single" w:sz="4" w:space="0" w:color="000000"/>
              <w:right w:val="single" w:sz="4" w:space="0" w:color="000000"/>
            </w:tcBorders>
            <w:shd w:val="clear" w:color="auto" w:fill="D9EAF7"/>
            <w:hideMark/>
          </w:tcPr>
          <w:p w14:paraId="30644975"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Galvenais rezultāts</w:t>
            </w:r>
          </w:p>
        </w:tc>
        <w:tc>
          <w:tcPr>
            <w:tcW w:w="3249" w:type="dxa"/>
            <w:tcBorders>
              <w:top w:val="single" w:sz="4" w:space="0" w:color="000000"/>
              <w:left w:val="single" w:sz="4" w:space="0" w:color="000000"/>
              <w:bottom w:val="single" w:sz="4" w:space="0" w:color="000000"/>
              <w:right w:val="single" w:sz="4" w:space="0" w:color="000000"/>
            </w:tcBorders>
            <w:shd w:val="clear" w:color="auto" w:fill="D9EAF7"/>
            <w:hideMark/>
          </w:tcPr>
          <w:p w14:paraId="1262DDC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19"/>
                <w:szCs w:val="19"/>
                <w:lang w:eastAsia="lv-LV"/>
                <w14:ligatures w14:val="none"/>
              </w:rPr>
              <w:t>Piezīme</w:t>
            </w:r>
          </w:p>
        </w:tc>
      </w:tr>
      <w:tr w:rsidR="00D97A15" w:rsidRPr="00D97A15" w14:paraId="55C89736"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9BB36F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2026. gada 2.–4. ceturksnis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1E38667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Arhitektūras lēmums, sadarbības modelis, konsultanta piesaiste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4BEC64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Jāizvērtē nepieciešamie projekta pases un CFLA līguma grozījumi</w:t>
            </w:r>
          </w:p>
        </w:tc>
      </w:tr>
      <w:tr w:rsidR="00D97A15" w:rsidRPr="00D97A15" w14:paraId="422250DA"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0B5DC62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2026. gada 3. ceturksnis–2027. gada februāris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2788010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proofErr w:type="spellStart"/>
            <w:r w:rsidRPr="00D97A15">
              <w:rPr>
                <w:rFonts w:eastAsia="Times New Roman" w:cs="Times New Roman"/>
                <w:color w:val="000000" w:themeColor="text1"/>
                <w:kern w:val="0"/>
                <w:sz w:val="19"/>
                <w:szCs w:val="19"/>
                <w:lang w:eastAsia="lv-LV"/>
                <w14:ligatures w14:val="none"/>
              </w:rPr>
              <w:t>PoUS</w:t>
            </w:r>
            <w:proofErr w:type="spellEnd"/>
            <w:r w:rsidRPr="00D97A15">
              <w:rPr>
                <w:rFonts w:eastAsia="Times New Roman" w:cs="Times New Roman"/>
                <w:color w:val="000000" w:themeColor="text1"/>
                <w:kern w:val="0"/>
                <w:sz w:val="19"/>
                <w:szCs w:val="19"/>
                <w:lang w:eastAsia="lv-LV"/>
                <w14:ligatures w14:val="none"/>
              </w:rPr>
              <w:t xml:space="preserve"> darba virziens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279CB6EC"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Atsevišķa paātrināta ieviešana</w:t>
            </w:r>
          </w:p>
        </w:tc>
      </w:tr>
      <w:tr w:rsidR="00D97A15" w:rsidRPr="00D97A15" w14:paraId="11155077"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3984A239"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2026. gada 3.–4. ceturksnis–2027. gada 2. ceturksnis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3050352E"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 xml:space="preserve">Audits, </w:t>
            </w:r>
            <w:proofErr w:type="spellStart"/>
            <w:r w:rsidRPr="00D97A15">
              <w:rPr>
                <w:rFonts w:eastAsia="Times New Roman" w:cs="Times New Roman"/>
                <w:color w:val="000000" w:themeColor="text1"/>
                <w:kern w:val="0"/>
                <w:sz w:val="19"/>
                <w:szCs w:val="19"/>
                <w:lang w:eastAsia="lv-LV"/>
                <w14:ligatures w14:val="none"/>
              </w:rPr>
              <w:t>gap</w:t>
            </w:r>
            <w:proofErr w:type="spellEnd"/>
            <w:r w:rsidRPr="00D97A15">
              <w:rPr>
                <w:rFonts w:eastAsia="Times New Roman" w:cs="Times New Roman"/>
                <w:color w:val="000000" w:themeColor="text1"/>
                <w:kern w:val="0"/>
                <w:sz w:val="19"/>
                <w:szCs w:val="19"/>
                <w:lang w:eastAsia="lv-LV"/>
                <w14:ligatures w14:val="none"/>
              </w:rPr>
              <w:t xml:space="preserve"> analīze, procesu modelēšana un tehniskā specifikācija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101502B3"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Jāpabeidz pirms galvenās izstrādes pilna apjoma uzsākšanas</w:t>
            </w:r>
          </w:p>
        </w:tc>
      </w:tr>
      <w:tr w:rsidR="00D97A15" w:rsidRPr="00D97A15" w14:paraId="0C1AD05B"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9BCAAFC"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2027. gada 1.–2. ceturksnis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55F889DF"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Iepirkumi</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3ACE017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Izstrāde, testēšana un infrastruktūra tiek organizēta savstarpēji saskaņoti</w:t>
            </w:r>
          </w:p>
        </w:tc>
      </w:tr>
      <w:tr w:rsidR="00D97A15" w:rsidRPr="00D97A15" w14:paraId="7CC5E64D"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7BB7E748"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2027. gada 2.–3. ceturksnis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5930A626"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RIM/URAM integrācija un MVP</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3A62D659"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MVP nav pilna regulatīvā atbilstība</w:t>
            </w:r>
          </w:p>
        </w:tc>
      </w:tr>
      <w:tr w:rsidR="00D97A15" w:rsidRPr="00D97A15" w14:paraId="528D88C4"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4F210D3C"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2027. gada 3. ceturksnis–2028. gada 1. ceturksnis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42059AF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Formalitāšu un iestāžu integrāciju laidieni</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6C173D0A"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Īsi, regulāri laidieni pēc prioritātēm</w:t>
            </w:r>
          </w:p>
        </w:tc>
      </w:tr>
      <w:tr w:rsidR="00D97A15" w:rsidRPr="00D97A15" w14:paraId="090D7DAF"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1AC4A2D8"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2028. gada 1.–2. ceturksnis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04A7F191"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Pilna integrācija, drošības pārbaudes, migrācija un produkcija</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14:paraId="39EB0AE3" w14:textId="77777777" w:rsidR="00D97A15" w:rsidRPr="00D97A15" w:rsidRDefault="00D97A15" w:rsidP="00D97A15">
            <w:pPr>
              <w:spacing w:after="0" w:line="240" w:lineRule="auto"/>
              <w:rPr>
                <w:rFonts w:eastAsia="Times New Roman" w:cs="Times New Roman"/>
                <w:color w:val="000000" w:themeColor="text1"/>
                <w:kern w:val="0"/>
                <w:sz w:val="21"/>
                <w:szCs w:val="21"/>
                <w:lang w:eastAsia="lv-LV"/>
                <w14:ligatures w14:val="none"/>
              </w:rPr>
            </w:pPr>
            <w:r w:rsidRPr="00D97A15">
              <w:rPr>
                <w:rFonts w:eastAsia="Times New Roman" w:cs="Times New Roman"/>
                <w:color w:val="000000" w:themeColor="text1"/>
                <w:kern w:val="0"/>
                <w:sz w:val="19"/>
                <w:szCs w:val="19"/>
                <w:lang w:eastAsia="lv-LV"/>
                <w14:ligatures w14:val="none"/>
              </w:rPr>
              <w:t>Nodošana uzturēšanai pēc visu kritēriju izpildes</w:t>
            </w:r>
          </w:p>
        </w:tc>
      </w:tr>
    </w:tbl>
    <w:p w14:paraId="5D30DD40" w14:textId="77777777" w:rsidR="000863FE" w:rsidRDefault="000863FE" w:rsidP="00D97A15">
      <w:pPr>
        <w:shd w:val="clear" w:color="auto" w:fill="FFFFFF"/>
        <w:spacing w:after="0" w:line="240" w:lineRule="auto"/>
        <w:rPr>
          <w:rFonts w:eastAsia="Times New Roman" w:cs="Times New Roman"/>
          <w:b/>
          <w:bCs/>
          <w:color w:val="000000" w:themeColor="text1"/>
          <w:kern w:val="0"/>
          <w:sz w:val="28"/>
          <w:szCs w:val="28"/>
          <w:lang w:eastAsia="lv-LV"/>
          <w14:ligatures w14:val="none"/>
        </w:rPr>
      </w:pPr>
    </w:p>
    <w:p w14:paraId="659B6688" w14:textId="00F1F42C" w:rsidR="00D97A15" w:rsidRPr="00D97A15" w:rsidRDefault="00D97A15" w:rsidP="00D92577">
      <w:p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D97A15">
        <w:rPr>
          <w:rFonts w:eastAsia="Times New Roman" w:cs="Times New Roman"/>
          <w:b/>
          <w:bCs/>
          <w:color w:val="000000" w:themeColor="text1"/>
          <w:kern w:val="0"/>
          <w:sz w:val="28"/>
          <w:szCs w:val="28"/>
          <w:lang w:eastAsia="lv-LV"/>
          <w14:ligatures w14:val="none"/>
        </w:rPr>
        <w:t>9. Kritiskie priekšnoteikumi plāna apstiprināšanai</w:t>
      </w:r>
    </w:p>
    <w:p w14:paraId="15B965F2" w14:textId="77777777" w:rsidR="00D97A15" w:rsidRPr="000863FE" w:rsidRDefault="00D97A15" w:rsidP="00D92577">
      <w:pPr>
        <w:pStyle w:val="Sarakstarindkopa"/>
        <w:numPr>
          <w:ilvl w:val="0"/>
          <w:numId w:val="8"/>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Juridiski un tehniski noformēta SKLOIS/MNSW un Ostu platformas atbildības sadale.</w:t>
      </w:r>
    </w:p>
    <w:p w14:paraId="0488B608" w14:textId="77777777" w:rsidR="00D97A15" w:rsidRPr="000863FE" w:rsidRDefault="00D97A15" w:rsidP="00D92577">
      <w:pPr>
        <w:pStyle w:val="Sarakstarindkopa"/>
        <w:numPr>
          <w:ilvl w:val="0"/>
          <w:numId w:val="8"/>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 xml:space="preserve">Apstiprināts </w:t>
      </w:r>
      <w:proofErr w:type="spellStart"/>
      <w:r w:rsidRPr="000863FE">
        <w:rPr>
          <w:rFonts w:eastAsia="Times New Roman" w:cs="Times New Roman"/>
          <w:color w:val="000000" w:themeColor="text1"/>
          <w:kern w:val="0"/>
          <w:sz w:val="21"/>
          <w:szCs w:val="21"/>
          <w:lang w:eastAsia="lv-LV"/>
          <w14:ligatures w14:val="none"/>
        </w:rPr>
        <w:t>PoUS</w:t>
      </w:r>
      <w:proofErr w:type="spellEnd"/>
      <w:r w:rsidRPr="000863FE">
        <w:rPr>
          <w:rFonts w:eastAsia="Times New Roman" w:cs="Times New Roman"/>
          <w:color w:val="000000" w:themeColor="text1"/>
          <w:kern w:val="0"/>
          <w:sz w:val="21"/>
          <w:szCs w:val="21"/>
          <w:lang w:eastAsia="lv-LV"/>
          <w14:ligatures w14:val="none"/>
        </w:rPr>
        <w:t xml:space="preserve"> paātrinātais darba virziens ar izpildes termiņu līdz 2027. gada februāra beigām.</w:t>
      </w:r>
    </w:p>
    <w:p w14:paraId="0BBBFE77" w14:textId="77777777" w:rsidR="00D97A15" w:rsidRPr="000863FE" w:rsidRDefault="00D97A15" w:rsidP="00D92577">
      <w:pPr>
        <w:pStyle w:val="Sarakstarindkopa"/>
        <w:numPr>
          <w:ilvl w:val="0"/>
          <w:numId w:val="8"/>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Saskaņots grafiks ar projekta pasi, projekta iesniegumu un CFLA līgumu vai sagatavoti nepieciešamie grozījumi.</w:t>
      </w:r>
    </w:p>
    <w:p w14:paraId="461DDF7D" w14:textId="77777777" w:rsidR="00D97A15" w:rsidRPr="000863FE" w:rsidRDefault="00D97A15" w:rsidP="00D92577">
      <w:pPr>
        <w:pStyle w:val="Sarakstarindkopa"/>
        <w:numPr>
          <w:ilvl w:val="0"/>
          <w:numId w:val="8"/>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Identificēta Ostu platformas atbildīgā juridiskā persona un noslēgts pilnvērtīgs sadarbības līgums.</w:t>
      </w:r>
    </w:p>
    <w:p w14:paraId="0313AA76" w14:textId="77777777" w:rsidR="00D97A15" w:rsidRPr="000863FE" w:rsidRDefault="00D97A15" w:rsidP="00D92577">
      <w:pPr>
        <w:pStyle w:val="Sarakstarindkopa"/>
        <w:numPr>
          <w:ilvl w:val="0"/>
          <w:numId w:val="8"/>
        </w:numPr>
        <w:shd w:val="clear" w:color="auto" w:fill="FFFFFF"/>
        <w:spacing w:after="0" w:line="240" w:lineRule="auto"/>
        <w:jc w:val="both"/>
        <w:rPr>
          <w:rFonts w:eastAsia="Times New Roman" w:cs="Times New Roman"/>
          <w:color w:val="000000" w:themeColor="text1"/>
          <w:kern w:val="0"/>
          <w:sz w:val="21"/>
          <w:szCs w:val="21"/>
          <w:lang w:eastAsia="lv-LV"/>
          <w14:ligatures w14:val="none"/>
        </w:rPr>
      </w:pPr>
      <w:r w:rsidRPr="000863FE">
        <w:rPr>
          <w:rFonts w:eastAsia="Times New Roman" w:cs="Times New Roman"/>
          <w:color w:val="000000" w:themeColor="text1"/>
          <w:kern w:val="0"/>
          <w:sz w:val="21"/>
          <w:szCs w:val="21"/>
          <w:lang w:eastAsia="lv-LV"/>
          <w14:ligatures w14:val="none"/>
        </w:rPr>
        <w:t>Apstiprināta pilna formalitāšu pārklājuma matrica un izmērāmi pieņemšanas kritēriji katram posmam.</w:t>
      </w:r>
    </w:p>
    <w:p w14:paraId="49C51361" w14:textId="77777777" w:rsidR="00DC013E" w:rsidRPr="00D97A15" w:rsidRDefault="00DC013E">
      <w:pPr>
        <w:rPr>
          <w:rFonts w:cs="Times New Roman"/>
          <w:color w:val="000000" w:themeColor="text1"/>
        </w:rPr>
      </w:pPr>
    </w:p>
    <w:sectPr w:rsidR="00DC013E" w:rsidRPr="00D97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3899"/>
    <w:multiLevelType w:val="hybridMultilevel"/>
    <w:tmpl w:val="E7E4B5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DB341E"/>
    <w:multiLevelType w:val="hybridMultilevel"/>
    <w:tmpl w:val="51F821F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E193929"/>
    <w:multiLevelType w:val="hybridMultilevel"/>
    <w:tmpl w:val="2898948C"/>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3" w15:restartNumberingAfterBreak="0">
    <w:nsid w:val="3CDE6126"/>
    <w:multiLevelType w:val="hybridMultilevel"/>
    <w:tmpl w:val="93826A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844DC0"/>
    <w:multiLevelType w:val="hybridMultilevel"/>
    <w:tmpl w:val="FC1A005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53412BDB"/>
    <w:multiLevelType w:val="hybridMultilevel"/>
    <w:tmpl w:val="4218FAB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541A2D6B"/>
    <w:multiLevelType w:val="hybridMultilevel"/>
    <w:tmpl w:val="3AD6A6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9003C19"/>
    <w:multiLevelType w:val="hybridMultilevel"/>
    <w:tmpl w:val="745418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15"/>
    <w:rsid w:val="000863FE"/>
    <w:rsid w:val="00587E19"/>
    <w:rsid w:val="00C57582"/>
    <w:rsid w:val="00D92577"/>
    <w:rsid w:val="00D97A15"/>
    <w:rsid w:val="00DC013E"/>
    <w:rsid w:val="00E85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7E95"/>
  <w15:chartTrackingRefBased/>
  <w15:docId w15:val="{E0705A27-C3FC-4CEA-BB94-D1EC869B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97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97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97A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97A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97A15"/>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D97A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97A1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97A1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97A1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97A1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97A1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97A15"/>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97A15"/>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97A15"/>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D97A1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97A1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97A1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97A1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97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97A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97A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97A1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97A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97A15"/>
    <w:rPr>
      <w:i/>
      <w:iCs/>
      <w:color w:val="404040" w:themeColor="text1" w:themeTint="BF"/>
    </w:rPr>
  </w:style>
  <w:style w:type="paragraph" w:styleId="Sarakstarindkopa">
    <w:name w:val="List Paragraph"/>
    <w:basedOn w:val="Parasts"/>
    <w:uiPriority w:val="34"/>
    <w:qFormat/>
    <w:rsid w:val="00D97A15"/>
    <w:pPr>
      <w:ind w:left="720"/>
      <w:contextualSpacing/>
    </w:pPr>
  </w:style>
  <w:style w:type="character" w:styleId="Intensvsizclums">
    <w:name w:val="Intense Emphasis"/>
    <w:basedOn w:val="Noklusjumarindkopasfonts"/>
    <w:uiPriority w:val="21"/>
    <w:qFormat/>
    <w:rsid w:val="00D97A15"/>
    <w:rPr>
      <w:i/>
      <w:iCs/>
      <w:color w:val="2F5496" w:themeColor="accent1" w:themeShade="BF"/>
    </w:rPr>
  </w:style>
  <w:style w:type="paragraph" w:styleId="Intensvscitts">
    <w:name w:val="Intense Quote"/>
    <w:basedOn w:val="Parasts"/>
    <w:next w:val="Parasts"/>
    <w:link w:val="IntensvscittsRakstz"/>
    <w:uiPriority w:val="30"/>
    <w:qFormat/>
    <w:rsid w:val="00D97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97A15"/>
    <w:rPr>
      <w:i/>
      <w:iCs/>
      <w:color w:val="2F5496" w:themeColor="accent1" w:themeShade="BF"/>
    </w:rPr>
  </w:style>
  <w:style w:type="character" w:styleId="Intensvaatsauce">
    <w:name w:val="Intense Reference"/>
    <w:basedOn w:val="Noklusjumarindkopasfonts"/>
    <w:uiPriority w:val="32"/>
    <w:qFormat/>
    <w:rsid w:val="00D97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7980</Words>
  <Characters>4549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Olita Magone</dc:creator>
  <cp:keywords/>
  <dc:description/>
  <cp:lastModifiedBy>Jan</cp:lastModifiedBy>
  <cp:revision>2</cp:revision>
  <dcterms:created xsi:type="dcterms:W3CDTF">2026-07-16T10:01:00Z</dcterms:created>
  <dcterms:modified xsi:type="dcterms:W3CDTF">2026-07-16T10:01:00Z</dcterms:modified>
</cp:coreProperties>
</file>